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1"/>
        <w:rPr/>
      </w:pPr>
      <w:r w:rsidDel="00000000" w:rsidR="00000000" w:rsidRPr="00000000">
        <w:rPr>
          <w:rtl w:val="0"/>
        </w:rPr>
      </w:r>
    </w:p>
    <w:p w:rsidR="00000000" w:rsidDel="00000000" w:rsidP="00000000" w:rsidRDefault="00000000" w:rsidRPr="00000000" w14:paraId="00000002">
      <w:pPr>
        <w:widowControl w:val="0"/>
        <w:spacing w:after="0" w:line="276" w:lineRule="auto"/>
        <w:ind w:firstLine="0"/>
        <w:jc w:val="left"/>
        <w:rPr/>
      </w:pPr>
      <w:r w:rsidDel="00000000" w:rsidR="00000000" w:rsidRPr="00000000">
        <w:rPr>
          <w:rtl w:val="0"/>
        </w:rPr>
      </w:r>
    </w:p>
    <w:p w:rsidR="00000000" w:rsidDel="00000000" w:rsidP="00000000" w:rsidRDefault="00000000" w:rsidRPr="00000000" w14:paraId="00000003">
      <w:pPr>
        <w:pStyle w:val="Heading1"/>
        <w:rPr/>
      </w:pPr>
      <w:r w:rsidDel="00000000" w:rsidR="00000000" w:rsidRPr="00000000">
        <w:rPr>
          <w:rtl w:val="0"/>
        </w:rPr>
      </w:r>
    </w:p>
    <w:p w:rsidR="00000000" w:rsidDel="00000000" w:rsidP="00000000" w:rsidRDefault="00000000" w:rsidRPr="00000000" w14:paraId="00000004">
      <w:pPr>
        <w:pStyle w:val="Heading1"/>
        <w:rPr/>
      </w:pPr>
      <w:r w:rsidDel="00000000" w:rsidR="00000000" w:rsidRPr="00000000">
        <w:rPr>
          <w:rtl w:val="0"/>
        </w:rPr>
        <w:t xml:space="preserve">PAPER TITLE (HEADING 1 STYLE)</w:t>
      </w:r>
    </w:p>
    <w:p w:rsidR="00000000" w:rsidDel="00000000" w:rsidP="00000000" w:rsidRDefault="00000000" w:rsidRPr="00000000" w14:paraId="00000005">
      <w:pPr>
        <w:ind w:firstLine="0"/>
        <w:jc w:val="center"/>
        <w:rPr>
          <w:i w:val="1"/>
          <w:sz w:val="18"/>
          <w:szCs w:val="18"/>
        </w:rPr>
      </w:pPr>
      <w:r w:rsidDel="00000000" w:rsidR="00000000" w:rsidRPr="00000000">
        <w:rPr>
          <w:i w:val="1"/>
          <w:sz w:val="18"/>
          <w:szCs w:val="18"/>
          <w:rtl w:val="0"/>
        </w:rPr>
        <w:t xml:space="preserve">Name and surname of author</w:t>
      </w:r>
      <w:r w:rsidDel="00000000" w:rsidR="00000000" w:rsidRPr="00000000">
        <w:rPr>
          <w:i w:val="1"/>
          <w:sz w:val="18"/>
          <w:szCs w:val="18"/>
          <w:vertAlign w:val="superscript"/>
        </w:rPr>
        <w:footnoteReference w:customMarkFollows="0" w:id="0"/>
      </w:r>
      <w:r w:rsidDel="00000000" w:rsidR="00000000" w:rsidRPr="00000000">
        <w:rPr>
          <w:i w:val="1"/>
          <w:sz w:val="18"/>
          <w:szCs w:val="18"/>
          <w:rtl w:val="0"/>
        </w:rPr>
        <w:t xml:space="preserve"> Name and surname of author </w:t>
      </w:r>
      <w:r w:rsidDel="00000000" w:rsidR="00000000" w:rsidRPr="00000000">
        <w:rPr>
          <w:i w:val="1"/>
          <w:sz w:val="18"/>
          <w:szCs w:val="18"/>
          <w:vertAlign w:val="superscript"/>
        </w:rPr>
        <w:footnoteReference w:customMarkFollows="0" w:id="1"/>
      </w:r>
      <w:r w:rsidDel="00000000" w:rsidR="00000000" w:rsidRPr="00000000">
        <w:rPr>
          <w:i w:val="1"/>
          <w:sz w:val="18"/>
          <w:szCs w:val="18"/>
          <w:rtl w:val="0"/>
        </w:rPr>
        <w:t xml:space="preserve"> Name and surname of author </w:t>
      </w:r>
      <w:r w:rsidDel="00000000" w:rsidR="00000000" w:rsidRPr="00000000">
        <w:rPr>
          <w:i w:val="1"/>
          <w:sz w:val="18"/>
          <w:szCs w:val="18"/>
          <w:vertAlign w:val="superscript"/>
        </w:rPr>
        <w:footnoteReference w:customMarkFollows="0" w:id="2"/>
      </w:r>
      <w:r w:rsidDel="00000000" w:rsidR="00000000" w:rsidRPr="00000000">
        <w:rPr>
          <w:rtl w:val="0"/>
        </w:rPr>
      </w:r>
    </w:p>
    <w:p w:rsidR="00000000" w:rsidDel="00000000" w:rsidP="00000000" w:rsidRDefault="00000000" w:rsidRPr="00000000" w14:paraId="00000006">
      <w:pPr>
        <w:spacing w:after="280" w:before="280" w:lineRule="auto"/>
        <w:ind w:firstLine="0"/>
        <w:rPr>
          <w:sz w:val="20"/>
          <w:szCs w:val="20"/>
        </w:rPr>
      </w:pPr>
      <w:r w:rsidDel="00000000" w:rsidR="00000000" w:rsidRPr="00000000">
        <w:rPr>
          <w:b w:val="1"/>
          <w:sz w:val="20"/>
          <w:szCs w:val="20"/>
          <w:rtl w:val="0"/>
        </w:rPr>
        <w:t xml:space="preserve">Abstract:</w:t>
      </w:r>
      <w:r w:rsidDel="00000000" w:rsidR="00000000" w:rsidRPr="00000000">
        <w:rPr>
          <w:sz w:val="20"/>
          <w:szCs w:val="20"/>
          <w:rtl w:val="0"/>
        </w:rPr>
        <w:t xml:space="preserve"> The abstract is a concise summary of the paper (100 to 150 words), enabling readers to grasp its important elements. The Rezime Style should be used for writing the abstract. Keywords come beneath the abstract.</w:t>
      </w:r>
    </w:p>
    <w:p w:rsidR="00000000" w:rsidDel="00000000" w:rsidP="00000000" w:rsidRDefault="00000000" w:rsidRPr="00000000" w14:paraId="00000007">
      <w:pPr>
        <w:spacing w:after="280" w:before="280" w:lineRule="auto"/>
        <w:ind w:firstLine="0"/>
        <w:rPr>
          <w:sz w:val="20"/>
          <w:szCs w:val="20"/>
        </w:rPr>
      </w:pPr>
      <w:r w:rsidDel="00000000" w:rsidR="00000000" w:rsidRPr="00000000">
        <w:rPr>
          <w:b w:val="1"/>
          <w:sz w:val="20"/>
          <w:szCs w:val="20"/>
          <w:rtl w:val="0"/>
        </w:rPr>
        <w:t xml:space="preserve">Key words:</w:t>
      </w:r>
      <w:r w:rsidDel="00000000" w:rsidR="00000000" w:rsidRPr="00000000">
        <w:rPr>
          <w:sz w:val="20"/>
          <w:szCs w:val="20"/>
          <w:rtl w:val="0"/>
        </w:rPr>
        <w:t xml:space="preserve"> 5-8 key words</w:t>
      </w:r>
    </w:p>
    <w:p w:rsidR="00000000" w:rsidDel="00000000" w:rsidP="00000000" w:rsidRDefault="00000000" w:rsidRPr="00000000" w14:paraId="00000008">
      <w:pPr>
        <w:pStyle w:val="Heading2"/>
        <w:numPr>
          <w:ilvl w:val="0"/>
          <w:numId w:val="3"/>
        </w:numPr>
        <w:ind w:left="360" w:firstLine="0"/>
        <w:rPr>
          <w:b w:val="1"/>
          <w:smallCaps w:val="1"/>
          <w:sz w:val="22"/>
          <w:szCs w:val="22"/>
        </w:rPr>
      </w:pPr>
      <w:r w:rsidDel="00000000" w:rsidR="00000000" w:rsidRPr="00000000">
        <w:rPr>
          <w:rtl w:val="0"/>
        </w:rPr>
        <w:t xml:space="preserve">INTRODUCTION  (HEADING 2 STYLE)</w:t>
      </w:r>
      <w:r w:rsidDel="00000000" w:rsidR="00000000" w:rsidRPr="00000000">
        <w:rPr>
          <w:rtl w:val="0"/>
        </w:rPr>
      </w:r>
    </w:p>
    <w:p w:rsidR="00000000" w:rsidDel="00000000" w:rsidP="00000000" w:rsidRDefault="00000000" w:rsidRPr="00000000" w14:paraId="00000009">
      <w:pPr>
        <w:pStyle w:val="Heading2"/>
        <w:numPr>
          <w:ilvl w:val="0"/>
          <w:numId w:val="3"/>
        </w:numPr>
        <w:ind w:left="360" w:firstLine="0"/>
        <w:rPr>
          <w:b w:val="1"/>
          <w:smallCaps w:val="1"/>
          <w:sz w:val="22"/>
          <w:szCs w:val="22"/>
        </w:rPr>
      </w:pPr>
      <w:r w:rsidDel="00000000" w:rsidR="00000000" w:rsidRPr="00000000">
        <w:rPr>
          <w:rtl w:val="0"/>
        </w:rPr>
        <w:t xml:space="preserve">SECTION (HEADING 2 STYLE)</w:t>
      </w:r>
      <w:r w:rsidDel="00000000" w:rsidR="00000000" w:rsidRPr="00000000">
        <w:rPr>
          <w:rtl w:val="0"/>
        </w:rPr>
      </w:r>
    </w:p>
    <w:p w:rsidR="00000000" w:rsidDel="00000000" w:rsidP="00000000" w:rsidRDefault="00000000" w:rsidRPr="00000000" w14:paraId="0000000A">
      <w:pPr>
        <w:pStyle w:val="Heading3"/>
        <w:numPr>
          <w:ilvl w:val="1"/>
          <w:numId w:val="2"/>
        </w:numPr>
        <w:ind w:left="792" w:hanging="432"/>
        <w:rPr>
          <w:b w:val="1"/>
          <w:sz w:val="22"/>
          <w:szCs w:val="22"/>
        </w:rPr>
      </w:pPr>
      <w:r w:rsidDel="00000000" w:rsidR="00000000" w:rsidRPr="00000000">
        <w:rPr>
          <w:rtl w:val="0"/>
        </w:rPr>
        <w:t xml:space="preserve">Subsection (Heading 3 Style)</w:t>
      </w:r>
      <w:r w:rsidDel="00000000" w:rsidR="00000000" w:rsidRPr="00000000">
        <w:rPr>
          <w:rtl w:val="0"/>
        </w:rPr>
      </w:r>
    </w:p>
    <w:p w:rsidR="00000000" w:rsidDel="00000000" w:rsidP="00000000" w:rsidRDefault="00000000" w:rsidRPr="00000000" w14:paraId="0000000B">
      <w:pPr>
        <w:rPr>
          <w:sz w:val="22"/>
          <w:szCs w:val="22"/>
        </w:rPr>
      </w:pPr>
      <w:r w:rsidDel="00000000" w:rsidR="00000000" w:rsidRPr="00000000">
        <w:rPr>
          <w:sz w:val="22"/>
          <w:szCs w:val="22"/>
          <w:rtl w:val="0"/>
        </w:rPr>
        <w:t xml:space="preserve">The paper size is A4 (Portrait). Its margins are set to: Multiple pages-Mirror margins, Top and Bottom 2.5 cm, Inside 2 cm, Outside 3 cm. The number of pages is 4 to 6.</w:t>
      </w:r>
    </w:p>
    <w:p w:rsidR="00000000" w:rsidDel="00000000" w:rsidP="00000000" w:rsidRDefault="00000000" w:rsidRPr="00000000" w14:paraId="0000000C">
      <w:pPr>
        <w:rPr>
          <w:sz w:val="22"/>
          <w:szCs w:val="22"/>
        </w:rPr>
      </w:pPr>
      <w:r w:rsidDel="00000000" w:rsidR="00000000" w:rsidRPr="00000000">
        <w:rPr>
          <w:sz w:val="22"/>
          <w:szCs w:val="22"/>
          <w:rtl w:val="0"/>
        </w:rPr>
        <w:t xml:space="preserve">The font used in the paper is Times New Roman, size 11pt with paragraph spacing 6 (Normal Style). </w:t>
      </w:r>
    </w:p>
    <w:p w:rsidR="00000000" w:rsidDel="00000000" w:rsidP="00000000" w:rsidRDefault="00000000" w:rsidRPr="00000000" w14:paraId="0000000D">
      <w:pPr>
        <w:rPr>
          <w:sz w:val="22"/>
          <w:szCs w:val="22"/>
        </w:rPr>
      </w:pPr>
      <w:r w:rsidDel="00000000" w:rsidR="00000000" w:rsidRPr="00000000">
        <w:rPr>
          <w:sz w:val="22"/>
          <w:szCs w:val="22"/>
          <w:rtl w:val="0"/>
        </w:rPr>
        <w:t xml:space="preserve">If there are any enumerations in the text, the list should be bulleted and styled like this:</w:t>
      </w:r>
    </w:p>
    <w:p w:rsidR="00000000" w:rsidDel="00000000" w:rsidP="00000000" w:rsidRDefault="00000000" w:rsidRPr="00000000" w14:paraId="0000000E">
      <w:pPr>
        <w:numPr>
          <w:ilvl w:val="0"/>
          <w:numId w:val="4"/>
        </w:numPr>
        <w:spacing w:after="0" w:lineRule="auto"/>
        <w:ind w:left="-395" w:hanging="170"/>
        <w:rPr>
          <w:rFonts w:ascii="Times New Roman" w:cs="Times New Roman" w:eastAsia="Times New Roman" w:hAnsi="Times New Roman"/>
          <w:sz w:val="22"/>
          <w:szCs w:val="22"/>
        </w:rPr>
      </w:pPr>
      <w:r w:rsidDel="00000000" w:rsidR="00000000" w:rsidRPr="00000000">
        <w:rPr>
          <w:sz w:val="22"/>
          <w:szCs w:val="22"/>
          <w:rtl w:val="0"/>
        </w:rPr>
        <w:t xml:space="preserve">Bulleted text</w:t>
      </w:r>
      <w:r w:rsidDel="00000000" w:rsidR="00000000" w:rsidRPr="00000000">
        <w:rPr>
          <w:rtl w:val="0"/>
        </w:rPr>
      </w:r>
    </w:p>
    <w:p w:rsidR="00000000" w:rsidDel="00000000" w:rsidP="00000000" w:rsidRDefault="00000000" w:rsidRPr="00000000" w14:paraId="0000000F">
      <w:pPr>
        <w:numPr>
          <w:ilvl w:val="0"/>
          <w:numId w:val="4"/>
        </w:numPr>
        <w:ind w:left="-395" w:hanging="170"/>
        <w:rPr>
          <w:rFonts w:ascii="Times New Roman" w:cs="Times New Roman" w:eastAsia="Times New Roman" w:hAnsi="Times New Roman"/>
          <w:sz w:val="22"/>
          <w:szCs w:val="22"/>
        </w:rPr>
      </w:pPr>
      <w:r w:rsidDel="00000000" w:rsidR="00000000" w:rsidRPr="00000000">
        <w:rPr>
          <w:sz w:val="22"/>
          <w:szCs w:val="22"/>
          <w:rtl w:val="0"/>
        </w:rPr>
        <w:t xml:space="preserve">Bulleted text, ...</w:t>
      </w:r>
      <w:r w:rsidDel="00000000" w:rsidR="00000000" w:rsidRPr="00000000">
        <w:rPr>
          <w:rtl w:val="0"/>
        </w:rPr>
      </w:r>
    </w:p>
    <w:p w:rsidR="00000000" w:rsidDel="00000000" w:rsidP="00000000" w:rsidRDefault="00000000" w:rsidRPr="00000000" w14:paraId="00000010">
      <w:pPr>
        <w:pStyle w:val="Heading4"/>
        <w:numPr>
          <w:ilvl w:val="2"/>
          <w:numId w:val="2"/>
        </w:numPr>
        <w:ind w:left="1224" w:hanging="504.00000000000006"/>
        <w:rPr>
          <w:b w:val="1"/>
          <w:sz w:val="22"/>
          <w:szCs w:val="22"/>
        </w:rPr>
      </w:pPr>
      <w:r w:rsidDel="00000000" w:rsidR="00000000" w:rsidRPr="00000000">
        <w:rPr>
          <w:rtl w:val="0"/>
        </w:rPr>
        <w:t xml:space="preserve">Subsubsection (Heading 4 Style)</w:t>
      </w:r>
      <w:r w:rsidDel="00000000" w:rsidR="00000000" w:rsidRPr="00000000">
        <w:rPr>
          <w:rtl w:val="0"/>
        </w:rPr>
      </w:r>
    </w:p>
    <w:p w:rsidR="00000000" w:rsidDel="00000000" w:rsidP="00000000" w:rsidRDefault="00000000" w:rsidRPr="00000000" w14:paraId="00000011">
      <w:pPr>
        <w:rPr>
          <w:sz w:val="22"/>
          <w:szCs w:val="22"/>
        </w:rPr>
      </w:pPr>
      <w:r w:rsidDel="00000000" w:rsidR="00000000" w:rsidRPr="00000000">
        <w:rPr>
          <w:sz w:val="22"/>
          <w:szCs w:val="22"/>
          <w:rtl w:val="0"/>
        </w:rPr>
        <w:t xml:space="preserve">Expressions are indented for 0.5 cm. Functions, variables and Greek symbols are in </w:t>
      </w:r>
      <w:r w:rsidDel="00000000" w:rsidR="00000000" w:rsidRPr="00000000">
        <w:rPr>
          <w:i w:val="1"/>
          <w:sz w:val="22"/>
          <w:szCs w:val="22"/>
          <w:rtl w:val="0"/>
        </w:rPr>
        <w:t xml:space="preserve">italics</w:t>
      </w:r>
      <w:r w:rsidDel="00000000" w:rsidR="00000000" w:rsidRPr="00000000">
        <w:rPr>
          <w:sz w:val="22"/>
          <w:szCs w:val="22"/>
          <w:rtl w:val="0"/>
        </w:rPr>
        <w:t xml:space="preserve">, font size 11 pt, subscripts and superscripts are 7 pt, while symbols are 14 pt.</w:t>
      </w:r>
    </w:p>
    <w:p w:rsidR="00000000" w:rsidDel="00000000" w:rsidP="00000000" w:rsidRDefault="00000000" w:rsidRPr="00000000" w14:paraId="00000012">
      <w:pPr>
        <w:tabs>
          <w:tab w:val="right" w:leader="none" w:pos="7513"/>
        </w:tabs>
        <w:jc w:val="right"/>
        <w:rPr>
          <w:sz w:val="22"/>
          <w:szCs w:val="22"/>
        </w:rPr>
      </w:pPr>
      <w:r w:rsidDel="00000000" w:rsidR="00000000" w:rsidRPr="00000000">
        <w:rPr>
          <w:sz w:val="22"/>
          <w:szCs w:val="22"/>
        </w:rPr>
        <w:drawing>
          <wp:inline distB="0" distT="0" distL="114300" distR="114300">
            <wp:extent cx="1536700" cy="469900"/>
            <wp:effectExtent b="0" l="0" r="0" t="0"/>
            <wp:docPr id="9"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1536700" cy="469900"/>
                    </a:xfrm>
                    <a:prstGeom prst="rect"/>
                    <a:ln/>
                  </pic:spPr>
                </pic:pic>
              </a:graphicData>
            </a:graphic>
          </wp:inline>
        </w:drawing>
      </w:r>
      <w:r w:rsidDel="00000000" w:rsidR="00000000" w:rsidRPr="00000000">
        <w:rPr>
          <w:sz w:val="22"/>
          <w:szCs w:val="22"/>
          <w:rtl w:val="0"/>
        </w:rPr>
        <w:t xml:space="preserve">  (The expression number is aligned to the right margin.)         </w:t>
        <w:tab/>
        <w:t xml:space="preserve">(1)</w:t>
      </w:r>
    </w:p>
    <w:p w:rsidR="00000000" w:rsidDel="00000000" w:rsidP="00000000" w:rsidRDefault="00000000" w:rsidRPr="00000000" w14:paraId="00000013">
      <w:pPr>
        <w:rPr>
          <w:sz w:val="22"/>
          <w:szCs w:val="22"/>
        </w:rPr>
      </w:pPr>
      <w:r w:rsidDel="00000000" w:rsidR="00000000" w:rsidRPr="00000000">
        <w:rPr>
          <w:sz w:val="22"/>
          <w:szCs w:val="22"/>
          <w:rtl w:val="0"/>
        </w:rPr>
        <w:t xml:space="preserve">Where:</w:t>
      </w:r>
    </w:p>
    <w:p w:rsidR="00000000" w:rsidDel="00000000" w:rsidP="00000000" w:rsidRDefault="00000000" w:rsidRPr="00000000" w14:paraId="00000014">
      <w:pPr>
        <w:rPr>
          <w:sz w:val="22"/>
          <w:szCs w:val="22"/>
        </w:rPr>
      </w:pPr>
      <w:r w:rsidDel="00000000" w:rsidR="00000000" w:rsidRPr="00000000">
        <w:rPr>
          <w:sz w:val="22"/>
          <w:szCs w:val="22"/>
        </w:rPr>
        <w:drawing>
          <wp:inline distB="0" distT="0" distL="114300" distR="114300">
            <wp:extent cx="152400" cy="190500"/>
            <wp:effectExtent b="0" l="0" r="0" t="0"/>
            <wp:docPr id="11"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152400" cy="190500"/>
                    </a:xfrm>
                    <a:prstGeom prst="rect"/>
                    <a:ln/>
                  </pic:spPr>
                </pic:pic>
              </a:graphicData>
            </a:graphic>
          </wp:inline>
        </w:drawing>
      </w:r>
      <w:r w:rsidDel="00000000" w:rsidR="00000000" w:rsidRPr="00000000">
        <w:rPr>
          <w:sz w:val="22"/>
          <w:szCs w:val="22"/>
          <w:rtl w:val="0"/>
        </w:rPr>
        <w:t xml:space="preserve">– The first variable,</w:t>
      </w:r>
    </w:p>
    <w:p w:rsidR="00000000" w:rsidDel="00000000" w:rsidP="00000000" w:rsidRDefault="00000000" w:rsidRPr="00000000" w14:paraId="00000015">
      <w:pPr>
        <w:rPr>
          <w:sz w:val="22"/>
          <w:szCs w:val="22"/>
        </w:rPr>
      </w:pPr>
      <w:r w:rsidDel="00000000" w:rsidR="00000000" w:rsidRPr="00000000">
        <w:rPr>
          <w:sz w:val="22"/>
          <w:szCs w:val="22"/>
        </w:rPr>
        <w:drawing>
          <wp:inline distB="0" distT="0" distL="114300" distR="114300">
            <wp:extent cx="152400" cy="190500"/>
            <wp:effectExtent b="0" l="0" r="0" t="0"/>
            <wp:docPr id="10"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152400" cy="190500"/>
                    </a:xfrm>
                    <a:prstGeom prst="rect"/>
                    <a:ln/>
                  </pic:spPr>
                </pic:pic>
              </a:graphicData>
            </a:graphic>
          </wp:inline>
        </w:drawing>
      </w:r>
      <w:r w:rsidDel="00000000" w:rsidR="00000000" w:rsidRPr="00000000">
        <w:rPr>
          <w:sz w:val="22"/>
          <w:szCs w:val="22"/>
          <w:rtl w:val="0"/>
        </w:rPr>
        <w:t xml:space="preserve">– The second variable, ...</w:t>
      </w:r>
    </w:p>
    <w:p w:rsidR="00000000" w:rsidDel="00000000" w:rsidP="00000000" w:rsidRDefault="00000000" w:rsidRPr="00000000" w14:paraId="00000016">
      <w:pPr>
        <w:ind w:firstLine="0"/>
        <w:rPr>
          <w:sz w:val="22"/>
          <w:szCs w:val="22"/>
        </w:rPr>
      </w:pPr>
      <w:r w:rsidDel="00000000" w:rsidR="00000000" w:rsidRPr="00000000">
        <w:rPr>
          <w:rtl w:val="0"/>
        </w:rPr>
      </w:r>
    </w:p>
    <w:p w:rsidR="00000000" w:rsidDel="00000000" w:rsidP="00000000" w:rsidRDefault="00000000" w:rsidRPr="00000000" w14:paraId="00000017">
      <w:pPr>
        <w:rPr>
          <w:sz w:val="22"/>
          <w:szCs w:val="22"/>
        </w:rPr>
      </w:pPr>
      <w:r w:rsidDel="00000000" w:rsidR="00000000" w:rsidRPr="00000000">
        <w:rPr>
          <w:sz w:val="22"/>
          <w:szCs w:val="22"/>
          <w:rtl w:val="0"/>
        </w:rPr>
        <w:t xml:space="preserve">For the text inside tables use Table Style, and for table and picture titles use Caption Style.</w:t>
      </w:r>
    </w:p>
    <w:p w:rsidR="00000000" w:rsidDel="00000000" w:rsidP="00000000" w:rsidRDefault="00000000" w:rsidRPr="00000000" w14:paraId="00000018">
      <w:pPr>
        <w:rPr>
          <w:sz w:val="22"/>
          <w:szCs w:val="22"/>
        </w:rPr>
      </w:pPr>
      <w:sdt>
        <w:sdtPr>
          <w:id w:val="720533178"/>
          <w:tag w:val="goog_rdk_0"/>
        </w:sdtPr>
        <w:sdtContent>
          <w:r w:rsidDel="00000000" w:rsidR="00000000" w:rsidRPr="00000000">
            <w:rPr>
              <w:rFonts w:ascii="Cardo" w:cs="Cardo" w:eastAsia="Cardo" w:hAnsi="Cardo"/>
              <w:sz w:val="22"/>
              <w:szCs w:val="22"/>
              <w:rtl w:val="0"/>
            </w:rPr>
            <w:t xml:space="preserve">For displaying tables use the option Insert table, with line thickness 1/2 pt, and shaded heading (Design→Borders→Borders and shading→Shading→Style = 10%). Before the table title and beneath the table leave one empty row. The word Table is capitalized in the text. </w:t>
          </w:r>
        </w:sdtContent>
      </w:sdt>
    </w:p>
    <w:p w:rsidR="00000000" w:rsidDel="00000000" w:rsidP="00000000" w:rsidRDefault="00000000" w:rsidRPr="00000000" w14:paraId="00000019">
      <w:pPr>
        <w:spacing w:after="0" w:lineRule="auto"/>
        <w:rPr/>
      </w:pPr>
      <w:r w:rsidDel="00000000" w:rsidR="00000000" w:rsidRPr="00000000">
        <w:rPr>
          <w:rtl w:val="0"/>
        </w:rPr>
        <w:t xml:space="preserve"> </w:t>
      </w:r>
    </w:p>
    <w:p w:rsidR="00000000" w:rsidDel="00000000" w:rsidP="00000000" w:rsidRDefault="00000000" w:rsidRPr="00000000" w14:paraId="0000001A">
      <w:pPr>
        <w:spacing w:after="0" w:lineRule="auto"/>
        <w:rPr/>
      </w:pPr>
      <w:r w:rsidDel="00000000" w:rsidR="00000000" w:rsidRPr="00000000">
        <w:rPr>
          <w:rtl w:val="0"/>
        </w:rPr>
      </w:r>
    </w:p>
    <w:p w:rsidR="00000000" w:rsidDel="00000000" w:rsidP="00000000" w:rsidRDefault="00000000" w:rsidRPr="00000000" w14:paraId="0000001B">
      <w:pPr>
        <w:keepNext w:val="1"/>
        <w:spacing w:before="60" w:lineRule="auto"/>
        <w:ind w:firstLine="0"/>
        <w:jc w:val="center"/>
        <w:rPr>
          <w:i w:val="1"/>
          <w:sz w:val="22"/>
          <w:szCs w:val="22"/>
        </w:rPr>
      </w:pPr>
      <w:r w:rsidDel="00000000" w:rsidR="00000000" w:rsidRPr="00000000">
        <w:rPr>
          <w:i w:val="1"/>
          <w:sz w:val="22"/>
          <w:szCs w:val="22"/>
          <w:rtl w:val="0"/>
        </w:rPr>
        <w:t xml:space="preserve">Table 1 </w:t>
      </w:r>
      <w:r w:rsidDel="00000000" w:rsidR="00000000" w:rsidRPr="00000000">
        <w:rPr>
          <w:rFonts w:ascii="Noto Sans Symbols" w:cs="Noto Sans Symbols" w:eastAsia="Noto Sans Symbols" w:hAnsi="Noto Sans Symbols"/>
          <w:i w:val="1"/>
          <w:sz w:val="22"/>
          <w:szCs w:val="22"/>
          <w:rtl w:val="0"/>
        </w:rPr>
        <w:t xml:space="preserve">−</w:t>
      </w:r>
      <w:r w:rsidDel="00000000" w:rsidR="00000000" w:rsidRPr="00000000">
        <w:rPr>
          <w:i w:val="1"/>
          <w:sz w:val="22"/>
          <w:szCs w:val="22"/>
          <w:rtl w:val="0"/>
        </w:rPr>
        <w:t xml:space="preserve"> Table title</w:t>
      </w:r>
    </w:p>
    <w:tbl>
      <w:tblPr>
        <w:tblStyle w:val="Table1"/>
        <w:tblW w:w="9084.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028"/>
        <w:gridCol w:w="3028"/>
        <w:gridCol w:w="3028"/>
        <w:tblGridChange w:id="0">
          <w:tblGrid>
            <w:gridCol w:w="3028"/>
            <w:gridCol w:w="3028"/>
            <w:gridCol w:w="3028"/>
          </w:tblGrid>
        </w:tblGridChange>
      </w:tblGrid>
      <w:tr>
        <w:trPr>
          <w:cantSplit w:val="1"/>
          <w:tblHeader w:val="0"/>
        </w:trPr>
        <w:tc>
          <w:tcPr>
            <w:shd w:fill="e6e6e6" w:val="clear"/>
            <w:vAlign w:val="top"/>
          </w:tcPr>
          <w:p w:rsidR="00000000" w:rsidDel="00000000" w:rsidP="00000000" w:rsidRDefault="00000000" w:rsidRPr="00000000" w14:paraId="0000001C">
            <w:pPr>
              <w:spacing w:after="40" w:before="40" w:lineRule="auto"/>
              <w:ind w:firstLine="0"/>
              <w:jc w:val="center"/>
              <w:rPr>
                <w:sz w:val="18"/>
                <w:szCs w:val="18"/>
              </w:rPr>
            </w:pPr>
            <w:r w:rsidDel="00000000" w:rsidR="00000000" w:rsidRPr="00000000">
              <w:rPr>
                <w:rtl w:val="0"/>
              </w:rPr>
            </w:r>
          </w:p>
        </w:tc>
        <w:tc>
          <w:tcPr>
            <w:shd w:fill="e6e6e6" w:val="clear"/>
            <w:vAlign w:val="top"/>
          </w:tcPr>
          <w:p w:rsidR="00000000" w:rsidDel="00000000" w:rsidP="00000000" w:rsidRDefault="00000000" w:rsidRPr="00000000" w14:paraId="0000001D">
            <w:pPr>
              <w:spacing w:after="40" w:before="40" w:lineRule="auto"/>
              <w:ind w:firstLine="0"/>
              <w:jc w:val="center"/>
              <w:rPr>
                <w:sz w:val="18"/>
                <w:szCs w:val="18"/>
              </w:rPr>
            </w:pPr>
            <w:r w:rsidDel="00000000" w:rsidR="00000000" w:rsidRPr="00000000">
              <w:rPr>
                <w:rtl w:val="0"/>
              </w:rPr>
            </w:r>
          </w:p>
        </w:tc>
        <w:tc>
          <w:tcPr>
            <w:shd w:fill="e6e6e6" w:val="clear"/>
            <w:vAlign w:val="top"/>
          </w:tcPr>
          <w:p w:rsidR="00000000" w:rsidDel="00000000" w:rsidP="00000000" w:rsidRDefault="00000000" w:rsidRPr="00000000" w14:paraId="0000001E">
            <w:pPr>
              <w:spacing w:after="40" w:before="40" w:lineRule="auto"/>
              <w:ind w:firstLine="0"/>
              <w:jc w:val="center"/>
              <w:rPr>
                <w:sz w:val="18"/>
                <w:szCs w:val="18"/>
              </w:rPr>
            </w:pPr>
            <w:r w:rsidDel="00000000" w:rsidR="00000000" w:rsidRPr="00000000">
              <w:rPr>
                <w:rtl w:val="0"/>
              </w:rPr>
            </w:r>
          </w:p>
        </w:tc>
      </w:tr>
      <w:tr>
        <w:trPr>
          <w:cantSplit w:val="1"/>
          <w:trHeight w:val="300" w:hRule="atLeast"/>
          <w:tblHeader w:val="0"/>
        </w:trPr>
        <w:tc>
          <w:tcPr>
            <w:vAlign w:val="top"/>
          </w:tcPr>
          <w:p w:rsidR="00000000" w:rsidDel="00000000" w:rsidP="00000000" w:rsidRDefault="00000000" w:rsidRPr="00000000" w14:paraId="0000001F">
            <w:pPr>
              <w:spacing w:after="40" w:before="40" w:lineRule="auto"/>
              <w:ind w:firstLine="0"/>
              <w:jc w:val="center"/>
              <w:rPr>
                <w:sz w:val="18"/>
                <w:szCs w:val="18"/>
              </w:rPr>
            </w:pPr>
            <w:r w:rsidDel="00000000" w:rsidR="00000000" w:rsidRPr="00000000">
              <w:rPr>
                <w:rtl w:val="0"/>
              </w:rPr>
            </w:r>
          </w:p>
        </w:tc>
        <w:tc>
          <w:tcPr>
            <w:vAlign w:val="top"/>
          </w:tcPr>
          <w:p w:rsidR="00000000" w:rsidDel="00000000" w:rsidP="00000000" w:rsidRDefault="00000000" w:rsidRPr="00000000" w14:paraId="00000020">
            <w:pPr>
              <w:spacing w:after="40" w:before="40" w:lineRule="auto"/>
              <w:ind w:firstLine="0"/>
              <w:jc w:val="center"/>
              <w:rPr>
                <w:sz w:val="18"/>
                <w:szCs w:val="18"/>
              </w:rPr>
            </w:pPr>
            <w:r w:rsidDel="00000000" w:rsidR="00000000" w:rsidRPr="00000000">
              <w:rPr>
                <w:rtl w:val="0"/>
              </w:rPr>
            </w:r>
          </w:p>
        </w:tc>
        <w:tc>
          <w:tcPr>
            <w:vAlign w:val="top"/>
          </w:tcPr>
          <w:p w:rsidR="00000000" w:rsidDel="00000000" w:rsidP="00000000" w:rsidRDefault="00000000" w:rsidRPr="00000000" w14:paraId="00000021">
            <w:pPr>
              <w:spacing w:after="40" w:before="40" w:lineRule="auto"/>
              <w:ind w:firstLine="0"/>
              <w:jc w:val="center"/>
              <w:rPr>
                <w:sz w:val="18"/>
                <w:szCs w:val="18"/>
              </w:rPr>
            </w:pPr>
            <w:r w:rsidDel="00000000" w:rsidR="00000000" w:rsidRPr="00000000">
              <w:rPr>
                <w:rtl w:val="0"/>
              </w:rPr>
            </w:r>
          </w:p>
        </w:tc>
      </w:tr>
      <w:tr>
        <w:trPr>
          <w:cantSplit w:val="1"/>
          <w:trHeight w:val="300" w:hRule="atLeast"/>
          <w:tblHeader w:val="0"/>
        </w:trPr>
        <w:tc>
          <w:tcPr>
            <w:vAlign w:val="top"/>
          </w:tcPr>
          <w:p w:rsidR="00000000" w:rsidDel="00000000" w:rsidP="00000000" w:rsidRDefault="00000000" w:rsidRPr="00000000" w14:paraId="00000022">
            <w:pPr>
              <w:spacing w:after="40" w:before="40" w:lineRule="auto"/>
              <w:ind w:firstLine="0"/>
              <w:jc w:val="center"/>
              <w:rPr>
                <w:sz w:val="18"/>
                <w:szCs w:val="18"/>
              </w:rPr>
            </w:pPr>
            <w:r w:rsidDel="00000000" w:rsidR="00000000" w:rsidRPr="00000000">
              <w:rPr>
                <w:rtl w:val="0"/>
              </w:rPr>
            </w:r>
          </w:p>
        </w:tc>
        <w:tc>
          <w:tcPr>
            <w:vAlign w:val="top"/>
          </w:tcPr>
          <w:p w:rsidR="00000000" w:rsidDel="00000000" w:rsidP="00000000" w:rsidRDefault="00000000" w:rsidRPr="00000000" w14:paraId="00000023">
            <w:pPr>
              <w:spacing w:after="40" w:before="40" w:lineRule="auto"/>
              <w:ind w:firstLine="0"/>
              <w:jc w:val="center"/>
              <w:rPr>
                <w:sz w:val="18"/>
                <w:szCs w:val="18"/>
              </w:rPr>
            </w:pPr>
            <w:r w:rsidDel="00000000" w:rsidR="00000000" w:rsidRPr="00000000">
              <w:rPr>
                <w:rtl w:val="0"/>
              </w:rPr>
            </w:r>
          </w:p>
        </w:tc>
        <w:tc>
          <w:tcPr>
            <w:vAlign w:val="top"/>
          </w:tcPr>
          <w:p w:rsidR="00000000" w:rsidDel="00000000" w:rsidP="00000000" w:rsidRDefault="00000000" w:rsidRPr="00000000" w14:paraId="00000024">
            <w:pPr>
              <w:spacing w:after="40" w:before="40" w:lineRule="auto"/>
              <w:ind w:firstLine="0"/>
              <w:jc w:val="center"/>
              <w:rPr>
                <w:sz w:val="18"/>
                <w:szCs w:val="18"/>
              </w:rPr>
            </w:pPr>
            <w:r w:rsidDel="00000000" w:rsidR="00000000" w:rsidRPr="00000000">
              <w:rPr>
                <w:rtl w:val="0"/>
              </w:rPr>
            </w:r>
          </w:p>
        </w:tc>
      </w:tr>
    </w:tbl>
    <w:p w:rsidR="00000000" w:rsidDel="00000000" w:rsidP="00000000" w:rsidRDefault="00000000" w:rsidRPr="00000000" w14:paraId="00000025">
      <w:pPr>
        <w:rPr/>
      </w:pPr>
      <w:r w:rsidDel="00000000" w:rsidR="00000000" w:rsidRPr="00000000">
        <w:rPr>
          <w:rtl w:val="0"/>
        </w:rPr>
      </w:r>
    </w:p>
    <w:p w:rsidR="00000000" w:rsidDel="00000000" w:rsidP="00000000" w:rsidRDefault="00000000" w:rsidRPr="00000000" w14:paraId="00000026">
      <w:pPr>
        <w:rPr>
          <w:sz w:val="22"/>
          <w:szCs w:val="22"/>
        </w:rPr>
      </w:pPr>
      <w:r w:rsidDel="00000000" w:rsidR="00000000" w:rsidRPr="00000000">
        <w:rPr>
          <w:sz w:val="22"/>
          <w:szCs w:val="22"/>
          <w:rtl w:val="0"/>
        </w:rPr>
        <w:t xml:space="preserve">The quality of images has to be as good as possible (scanned images are not acceptable). Diagrams, graphics, drawings and images must be sent in their original form along with the paper. In the text, all illustrations are figures, and the word Figure is capitalized. </w:t>
      </w:r>
    </w:p>
    <w:p w:rsidR="00000000" w:rsidDel="00000000" w:rsidP="00000000" w:rsidRDefault="00000000" w:rsidRPr="00000000" w14:paraId="00000027">
      <w:pPr>
        <w:rPr>
          <w:sz w:val="22"/>
          <w:szCs w:val="22"/>
        </w:rPr>
      </w:pPr>
      <w:r w:rsidDel="00000000" w:rsidR="00000000" w:rsidRPr="00000000">
        <w:rPr>
          <w:sz w:val="22"/>
          <w:szCs w:val="22"/>
          <w:rtl w:val="0"/>
        </w:rPr>
        <w:t xml:space="preserve">Before the Figure and beneath the Figure title, leave one empty row.</w:t>
      </w:r>
    </w:p>
    <w:p w:rsidR="00000000" w:rsidDel="00000000" w:rsidP="00000000" w:rsidRDefault="00000000" w:rsidRPr="00000000" w14:paraId="00000028">
      <w:pPr>
        <w:spacing w:after="0" w:lineRule="auto"/>
        <w:rPr/>
      </w:pPr>
      <w:r w:rsidDel="00000000" w:rsidR="00000000" w:rsidRPr="00000000">
        <w:rPr>
          <w:rtl w:val="0"/>
        </w:rPr>
      </w:r>
    </w:p>
    <w:p w:rsidR="00000000" w:rsidDel="00000000" w:rsidP="00000000" w:rsidRDefault="00000000" w:rsidRPr="00000000" w14:paraId="00000029">
      <w:pPr>
        <w:spacing w:before="60" w:lineRule="auto"/>
        <w:ind w:firstLine="0"/>
        <w:jc w:val="center"/>
        <w:rPr>
          <w:i w:val="1"/>
          <w:sz w:val="18"/>
          <w:szCs w:val="18"/>
        </w:rPr>
      </w:pPr>
      <w:r w:rsidDel="00000000" w:rsidR="00000000" w:rsidRPr="00000000">
        <w:rPr>
          <w:i w:val="1"/>
          <w:sz w:val="18"/>
          <w:szCs w:val="18"/>
        </w:rPr>
        <w:drawing>
          <wp:inline distB="114300" distT="114300" distL="114300" distR="114300">
            <wp:extent cx="3381848" cy="1769093"/>
            <wp:effectExtent b="0" l="0" r="0" t="0"/>
            <wp:docPr id="7" name="image6.png"/>
            <a:graphic>
              <a:graphicData uri="http://schemas.openxmlformats.org/drawingml/2006/picture">
                <pic:pic>
                  <pic:nvPicPr>
                    <pic:cNvPr id="0" name="image6.png"/>
                    <pic:cNvPicPr preferRelativeResize="0"/>
                  </pic:nvPicPr>
                  <pic:blipFill>
                    <a:blip r:embed="rId11"/>
                    <a:srcRect b="0" l="0" r="0" t="0"/>
                    <a:stretch>
                      <a:fillRect/>
                    </a:stretch>
                  </pic:blipFill>
                  <pic:spPr>
                    <a:xfrm>
                      <a:off x="0" y="0"/>
                      <a:ext cx="3381848" cy="1769093"/>
                    </a:xfrm>
                    <a:prstGeom prst="rect"/>
                    <a:ln/>
                  </pic:spPr>
                </pic:pic>
              </a:graphicData>
            </a:graphic>
          </wp:inline>
        </w:drawing>
      </w:r>
      <w:r w:rsidDel="00000000" w:rsidR="00000000" w:rsidRPr="00000000">
        <w:rPr>
          <w:rtl w:val="0"/>
        </w:rPr>
      </w:r>
    </w:p>
    <w:p w:rsidR="00000000" w:rsidDel="00000000" w:rsidP="00000000" w:rsidRDefault="00000000" w:rsidRPr="00000000" w14:paraId="0000002A">
      <w:pPr>
        <w:spacing w:before="60" w:lineRule="auto"/>
        <w:ind w:firstLine="0"/>
        <w:jc w:val="center"/>
        <w:rPr>
          <w:i w:val="1"/>
          <w:sz w:val="22"/>
          <w:szCs w:val="22"/>
        </w:rPr>
      </w:pPr>
      <w:r w:rsidDel="00000000" w:rsidR="00000000" w:rsidRPr="00000000">
        <w:rPr>
          <w:i w:val="1"/>
          <w:sz w:val="22"/>
          <w:szCs w:val="22"/>
          <w:rtl w:val="0"/>
        </w:rPr>
        <w:t xml:space="preserve">Figure 1 </w:t>
      </w:r>
      <w:r w:rsidDel="00000000" w:rsidR="00000000" w:rsidRPr="00000000">
        <w:rPr>
          <w:rFonts w:ascii="Noto Sans Symbols" w:cs="Noto Sans Symbols" w:eastAsia="Noto Sans Symbols" w:hAnsi="Noto Sans Symbols"/>
          <w:i w:val="1"/>
          <w:sz w:val="22"/>
          <w:szCs w:val="22"/>
          <w:rtl w:val="0"/>
        </w:rPr>
        <w:t xml:space="preserve">−</w:t>
      </w:r>
      <w:r w:rsidDel="00000000" w:rsidR="00000000" w:rsidRPr="00000000">
        <w:rPr>
          <w:i w:val="1"/>
          <w:sz w:val="22"/>
          <w:szCs w:val="22"/>
          <w:rtl w:val="0"/>
        </w:rPr>
        <w:t xml:space="preserve">  Figure title</w:t>
      </w:r>
    </w:p>
    <w:p w:rsidR="00000000" w:rsidDel="00000000" w:rsidP="00000000" w:rsidRDefault="00000000" w:rsidRPr="00000000" w14:paraId="0000002B">
      <w:pPr>
        <w:pStyle w:val="Heading2"/>
        <w:numPr>
          <w:ilvl w:val="0"/>
          <w:numId w:val="2"/>
        </w:numPr>
        <w:ind w:left="360" w:firstLine="0"/>
        <w:rPr>
          <w:b w:val="1"/>
          <w:smallCaps w:val="1"/>
          <w:sz w:val="22"/>
          <w:szCs w:val="22"/>
        </w:rPr>
      </w:pPr>
      <w:r w:rsidDel="00000000" w:rsidR="00000000" w:rsidRPr="00000000">
        <w:rPr>
          <w:rtl w:val="0"/>
        </w:rPr>
        <w:t xml:space="preserve">CONCLUSION</w:t>
      </w:r>
      <w:r w:rsidDel="00000000" w:rsidR="00000000" w:rsidRPr="00000000">
        <w:rPr>
          <w:rtl w:val="0"/>
        </w:rPr>
      </w:r>
    </w:p>
    <w:p w:rsidR="00000000" w:rsidDel="00000000" w:rsidP="00000000" w:rsidRDefault="00000000" w:rsidRPr="00000000" w14:paraId="0000002C">
      <w:pPr>
        <w:pStyle w:val="Heading2"/>
        <w:numPr>
          <w:ilvl w:val="0"/>
          <w:numId w:val="2"/>
        </w:numPr>
        <w:ind w:left="360" w:firstLine="0"/>
        <w:rPr>
          <w:b w:val="1"/>
          <w:smallCaps w:val="1"/>
          <w:sz w:val="22"/>
          <w:szCs w:val="22"/>
        </w:rPr>
      </w:pPr>
      <w:bookmarkStart w:colFirst="0" w:colLast="0" w:name="_heading=h.4b44iouhsnw6" w:id="0"/>
      <w:bookmarkEnd w:id="0"/>
      <w:r w:rsidDel="00000000" w:rsidR="00000000" w:rsidRPr="00000000">
        <w:rPr>
          <w:rtl w:val="0"/>
        </w:rPr>
        <w:t xml:space="preserve">REFERENCES</w:t>
      </w:r>
      <w:r w:rsidDel="00000000" w:rsidR="00000000" w:rsidRPr="00000000">
        <w:rPr>
          <w:rtl w:val="0"/>
        </w:rPr>
      </w:r>
    </w:p>
    <w:p w:rsidR="00000000" w:rsidDel="00000000" w:rsidP="00000000" w:rsidRDefault="00000000" w:rsidRPr="00000000" w14:paraId="0000002D">
      <w:pPr>
        <w:rPr>
          <w:sz w:val="22"/>
          <w:szCs w:val="22"/>
        </w:rPr>
      </w:pPr>
      <w:r w:rsidDel="00000000" w:rsidR="00000000" w:rsidRPr="00000000">
        <w:rPr>
          <w:sz w:val="22"/>
          <w:szCs w:val="22"/>
          <w:rtl w:val="0"/>
        </w:rPr>
        <w:t xml:space="preserve">Only sources used in the paper preparation can be mentioned in the reference list. Arrange the references in the order of appearance in the document. When referring to literature, use the reference number in square brackets in the appropriate place in the text. In case of citing multiple sources at a time, each reference number is in its brackets separated by a comma [2], [3], or a dash [1]-[3]. To format the bibliography, use the References icon, which automatically performs numbering. The following are examples of correctly cited literature. </w:t>
      </w:r>
    </w:p>
    <w:p w:rsidR="00000000" w:rsidDel="00000000" w:rsidP="00000000" w:rsidRDefault="00000000" w:rsidRPr="00000000" w14:paraId="0000002E">
      <w:pPr>
        <w:numPr>
          <w:ilvl w:val="0"/>
          <w:numId w:val="1"/>
        </w:numPr>
        <w:spacing w:after="0" w:before="0" w:lineRule="auto"/>
        <w:ind w:left="720" w:hanging="360"/>
        <w:rPr>
          <w:sz w:val="22"/>
          <w:szCs w:val="22"/>
        </w:rPr>
      </w:pPr>
      <w:r w:rsidDel="00000000" w:rsidR="00000000" w:rsidRPr="00000000">
        <w:rPr>
          <w:sz w:val="22"/>
          <w:szCs w:val="22"/>
          <w:rtl w:val="0"/>
        </w:rPr>
        <w:t xml:space="preserve">Montgomery, D. C. (author): </w:t>
      </w:r>
      <w:r w:rsidDel="00000000" w:rsidR="00000000" w:rsidRPr="00000000">
        <w:rPr>
          <w:i w:val="1"/>
          <w:sz w:val="22"/>
          <w:szCs w:val="22"/>
          <w:rtl w:val="0"/>
        </w:rPr>
        <w:t xml:space="preserve">Design and Analysis of Experiments</w:t>
      </w:r>
      <w:r w:rsidDel="00000000" w:rsidR="00000000" w:rsidRPr="00000000">
        <w:rPr>
          <w:sz w:val="22"/>
          <w:szCs w:val="22"/>
          <w:rtl w:val="0"/>
        </w:rPr>
        <w:t xml:space="preserve"> (9th ed.) (work), John Wiley &amp; Sons (publisher), New York (town), 2017 (year).</w:t>
      </w:r>
    </w:p>
    <w:p w:rsidR="00000000" w:rsidDel="00000000" w:rsidP="00000000" w:rsidRDefault="00000000" w:rsidRPr="00000000" w14:paraId="0000002F">
      <w:pPr>
        <w:numPr>
          <w:ilvl w:val="0"/>
          <w:numId w:val="1"/>
        </w:numPr>
        <w:spacing w:after="0" w:before="0" w:lineRule="auto"/>
        <w:ind w:left="720" w:hanging="360"/>
        <w:rPr>
          <w:sz w:val="22"/>
          <w:szCs w:val="22"/>
        </w:rPr>
      </w:pPr>
      <w:r w:rsidDel="00000000" w:rsidR="00000000" w:rsidRPr="00000000">
        <w:rPr>
          <w:sz w:val="22"/>
          <w:szCs w:val="22"/>
          <w:rtl w:val="0"/>
        </w:rPr>
        <w:t xml:space="preserve">Atkins, P.; Jones, L.: </w:t>
      </w:r>
      <w:r w:rsidDel="00000000" w:rsidR="00000000" w:rsidRPr="00000000">
        <w:rPr>
          <w:i w:val="1"/>
          <w:sz w:val="22"/>
          <w:szCs w:val="22"/>
          <w:rtl w:val="0"/>
        </w:rPr>
        <w:t xml:space="preserve">Chemical Principles: The Quest for Insight</w:t>
      </w:r>
      <w:r w:rsidDel="00000000" w:rsidR="00000000" w:rsidRPr="00000000">
        <w:rPr>
          <w:sz w:val="22"/>
          <w:szCs w:val="22"/>
          <w:rtl w:val="0"/>
        </w:rPr>
        <w:t xml:space="preserve"> (7th ed.), W. H. Freeman and Company, New York, 2016.</w:t>
      </w:r>
    </w:p>
    <w:p w:rsidR="00000000" w:rsidDel="00000000" w:rsidP="00000000" w:rsidRDefault="00000000" w:rsidRPr="00000000" w14:paraId="00000030">
      <w:pPr>
        <w:numPr>
          <w:ilvl w:val="0"/>
          <w:numId w:val="1"/>
        </w:numPr>
        <w:spacing w:after="0" w:before="0" w:lineRule="auto"/>
        <w:ind w:left="720" w:hanging="360"/>
        <w:rPr>
          <w:sz w:val="22"/>
          <w:szCs w:val="22"/>
        </w:rPr>
      </w:pPr>
      <w:r w:rsidDel="00000000" w:rsidR="00000000" w:rsidRPr="00000000">
        <w:rPr>
          <w:sz w:val="22"/>
          <w:szCs w:val="22"/>
          <w:rtl w:val="0"/>
        </w:rPr>
        <w:t xml:space="preserve">Demirbas, A.: </w:t>
      </w:r>
      <w:r w:rsidDel="00000000" w:rsidR="00000000" w:rsidRPr="00000000">
        <w:rPr>
          <w:i w:val="1"/>
          <w:sz w:val="22"/>
          <w:szCs w:val="22"/>
          <w:rtl w:val="0"/>
        </w:rPr>
        <w:t xml:space="preserve">Combustion Characteristics of Different Biomass Fuels</w:t>
      </w:r>
      <w:r w:rsidDel="00000000" w:rsidR="00000000" w:rsidRPr="00000000">
        <w:rPr>
          <w:sz w:val="22"/>
          <w:szCs w:val="22"/>
          <w:rtl w:val="0"/>
        </w:rPr>
        <w:t xml:space="preserve">, in </w:t>
      </w:r>
      <w:r w:rsidDel="00000000" w:rsidR="00000000" w:rsidRPr="00000000">
        <w:rPr>
          <w:i w:val="1"/>
          <w:sz w:val="22"/>
          <w:szCs w:val="22"/>
          <w:rtl w:val="0"/>
        </w:rPr>
        <w:t xml:space="preserve">Energy Conversion and Management</w:t>
      </w:r>
      <w:r w:rsidDel="00000000" w:rsidR="00000000" w:rsidRPr="00000000">
        <w:rPr>
          <w:sz w:val="22"/>
          <w:szCs w:val="22"/>
          <w:rtl w:val="0"/>
        </w:rPr>
        <w:t xml:space="preserve">, Vol. 52 (3), Elsevier, 2011, pp. 1927–1933.</w:t>
      </w:r>
    </w:p>
    <w:p w:rsidR="00000000" w:rsidDel="00000000" w:rsidP="00000000" w:rsidRDefault="00000000" w:rsidRPr="00000000" w14:paraId="00000031">
      <w:pPr>
        <w:numPr>
          <w:ilvl w:val="0"/>
          <w:numId w:val="1"/>
        </w:numPr>
        <w:spacing w:after="0" w:before="0" w:lineRule="auto"/>
        <w:ind w:left="720" w:hanging="360"/>
        <w:rPr>
          <w:sz w:val="22"/>
          <w:szCs w:val="22"/>
        </w:rPr>
      </w:pPr>
      <w:r w:rsidDel="00000000" w:rsidR="00000000" w:rsidRPr="00000000">
        <w:rPr>
          <w:sz w:val="22"/>
          <w:szCs w:val="22"/>
          <w:rtl w:val="0"/>
        </w:rPr>
        <w:t xml:space="preserve">Ware, M.: </w:t>
      </w:r>
      <w:r w:rsidDel="00000000" w:rsidR="00000000" w:rsidRPr="00000000">
        <w:rPr>
          <w:i w:val="1"/>
          <w:sz w:val="22"/>
          <w:szCs w:val="22"/>
          <w:rtl w:val="0"/>
        </w:rPr>
        <w:t xml:space="preserve">The Cyanotype Process: John Herschel’s Discovery and Modern Practice</w:t>
      </w:r>
      <w:r w:rsidDel="00000000" w:rsidR="00000000" w:rsidRPr="00000000">
        <w:rPr>
          <w:sz w:val="22"/>
          <w:szCs w:val="22"/>
          <w:rtl w:val="0"/>
        </w:rPr>
        <w:t xml:space="preserve">, available at:</w:t>
      </w:r>
      <w:hyperlink r:id="rId12">
        <w:r w:rsidDel="00000000" w:rsidR="00000000" w:rsidRPr="00000000">
          <w:rPr>
            <w:sz w:val="22"/>
            <w:szCs w:val="22"/>
            <w:rtl w:val="0"/>
          </w:rPr>
          <w:t xml:space="preserve"> </w:t>
        </w:r>
      </w:hyperlink>
      <w:hyperlink r:id="rId13">
        <w:r w:rsidDel="00000000" w:rsidR="00000000" w:rsidRPr="00000000">
          <w:rPr>
            <w:color w:val="1155cc"/>
            <w:sz w:val="22"/>
            <w:szCs w:val="22"/>
            <w:u w:val="single"/>
            <w:rtl w:val="0"/>
          </w:rPr>
          <w:t xml:space="preserve">http://www.mikeware.co.uk/mikeware/John_Herschel.html</w:t>
        </w:r>
      </w:hyperlink>
      <w:r w:rsidDel="00000000" w:rsidR="00000000" w:rsidRPr="00000000">
        <w:rPr>
          <w:sz w:val="22"/>
          <w:szCs w:val="22"/>
          <w:rtl w:val="0"/>
        </w:rPr>
        <w:t xml:space="preserve">, November 2011.</w:t>
      </w:r>
    </w:p>
    <w:p w:rsidR="00000000" w:rsidDel="00000000" w:rsidP="00000000" w:rsidRDefault="00000000" w:rsidRPr="00000000" w14:paraId="00000032">
      <w:pPr>
        <w:numPr>
          <w:ilvl w:val="0"/>
          <w:numId w:val="1"/>
        </w:numPr>
        <w:spacing w:after="0" w:before="0" w:lineRule="auto"/>
        <w:ind w:left="720" w:hanging="360"/>
        <w:rPr>
          <w:sz w:val="22"/>
          <w:szCs w:val="22"/>
        </w:rPr>
      </w:pPr>
      <w:r w:rsidDel="00000000" w:rsidR="00000000" w:rsidRPr="00000000">
        <w:rPr>
          <w:sz w:val="22"/>
          <w:szCs w:val="22"/>
          <w:rtl w:val="0"/>
        </w:rPr>
        <w:t xml:space="preserve">European Chemicals Agency (ECHA): </w:t>
      </w:r>
      <w:r w:rsidDel="00000000" w:rsidR="00000000" w:rsidRPr="00000000">
        <w:rPr>
          <w:i w:val="1"/>
          <w:sz w:val="22"/>
          <w:szCs w:val="22"/>
          <w:rtl w:val="0"/>
        </w:rPr>
        <w:t xml:space="preserve">Regulation (EC) No 1907/2006 (REACH) on the Registration, Evaluation, Authorisation and Restriction of Chemicals</w:t>
      </w:r>
      <w:r w:rsidDel="00000000" w:rsidR="00000000" w:rsidRPr="00000000">
        <w:rPr>
          <w:sz w:val="22"/>
          <w:szCs w:val="22"/>
          <w:rtl w:val="0"/>
        </w:rPr>
        <w:t xml:space="preserve"> (“Official Journal of the European Union”), 2020.</w:t>
      </w:r>
    </w:p>
    <w:p w:rsidR="00000000" w:rsidDel="00000000" w:rsidP="00000000" w:rsidRDefault="00000000" w:rsidRPr="00000000" w14:paraId="00000033">
      <w:pPr>
        <w:numPr>
          <w:ilvl w:val="0"/>
          <w:numId w:val="1"/>
        </w:numPr>
        <w:spacing w:after="0" w:before="0" w:lineRule="auto"/>
        <w:ind w:left="720" w:hanging="360"/>
        <w:rPr>
          <w:sz w:val="22"/>
          <w:szCs w:val="22"/>
        </w:rPr>
      </w:pPr>
      <w:r w:rsidDel="00000000" w:rsidR="00000000" w:rsidRPr="00000000">
        <w:rPr>
          <w:sz w:val="22"/>
          <w:szCs w:val="22"/>
          <w:rtl w:val="0"/>
        </w:rPr>
        <w:t xml:space="preserve">European Commission: </w:t>
      </w:r>
      <w:r w:rsidDel="00000000" w:rsidR="00000000" w:rsidRPr="00000000">
        <w:rPr>
          <w:i w:val="1"/>
          <w:sz w:val="22"/>
          <w:szCs w:val="22"/>
          <w:rtl w:val="0"/>
        </w:rPr>
        <w:t xml:space="preserve">Classification, Labelling and Packaging (CLP) Regulation (EC) No 1272/2008 — List of Harmonised Classification and Labelling of Hazardous Substances</w:t>
      </w:r>
      <w:r w:rsidDel="00000000" w:rsidR="00000000" w:rsidRPr="00000000">
        <w:rPr>
          <w:sz w:val="22"/>
          <w:szCs w:val="22"/>
          <w:rtl w:val="0"/>
        </w:rPr>
        <w:t xml:space="preserve"> (“Official Journal of the European Union”), 2021.</w:t>
      </w:r>
      <w:r w:rsidDel="00000000" w:rsidR="00000000" w:rsidRPr="00000000">
        <w:rPr>
          <w:rtl w:val="0"/>
        </w:rPr>
      </w:r>
    </w:p>
    <w:p w:rsidR="00000000" w:rsidDel="00000000" w:rsidP="00000000" w:rsidRDefault="00000000" w:rsidRPr="00000000" w14:paraId="00000034">
      <w:pPr>
        <w:spacing w:after="240" w:before="240" w:lineRule="auto"/>
        <w:ind w:firstLine="0"/>
        <w:rPr>
          <w:sz w:val="22"/>
          <w:szCs w:val="22"/>
        </w:rPr>
      </w:pPr>
      <w:r w:rsidDel="00000000" w:rsidR="00000000" w:rsidRPr="00000000">
        <w:rPr>
          <w:b w:val="1"/>
          <w:sz w:val="22"/>
          <w:szCs w:val="22"/>
          <w:rtl w:val="0"/>
        </w:rPr>
        <w:t xml:space="preserve">Acknowledgements:</w:t>
      </w:r>
      <w:r w:rsidDel="00000000" w:rsidR="00000000" w:rsidRPr="00000000">
        <w:rPr>
          <w:sz w:val="22"/>
          <w:szCs w:val="22"/>
          <w:rtl w:val="0"/>
        </w:rPr>
        <w:t xml:space="preserve"> In this section, you can acknowledge any support given which is not covered by the author contribution or funding sections. This may include administrative and technical support, or donations in kind (e.g., materials used for experiments).</w:t>
      </w:r>
    </w:p>
    <w:p w:rsidR="00000000" w:rsidDel="00000000" w:rsidP="00000000" w:rsidRDefault="00000000" w:rsidRPr="00000000" w14:paraId="00000035">
      <w:pPr>
        <w:spacing w:after="0" w:lineRule="auto"/>
        <w:ind w:left="426" w:hanging="426"/>
        <w:rPr>
          <w:sz w:val="22"/>
          <w:szCs w:val="22"/>
        </w:rPr>
      </w:pPr>
      <w:r w:rsidDel="00000000" w:rsidR="00000000" w:rsidRPr="00000000">
        <w:rPr>
          <w:rtl w:val="0"/>
        </w:rPr>
      </w:r>
    </w:p>
    <w:p w:rsidR="00000000" w:rsidDel="00000000" w:rsidP="00000000" w:rsidRDefault="00000000" w:rsidRPr="00000000" w14:paraId="00000036">
      <w:pPr>
        <w:spacing w:after="0" w:lineRule="auto"/>
        <w:ind w:left="426" w:firstLine="426"/>
        <w:rPr>
          <w:sz w:val="22"/>
          <w:szCs w:val="22"/>
        </w:rPr>
      </w:pPr>
      <w:r w:rsidDel="00000000" w:rsidR="00000000" w:rsidRPr="00000000">
        <w:rPr>
          <w:b w:val="1"/>
          <w:rtl w:val="0"/>
        </w:rPr>
        <w:t xml:space="preserve">Please save your paper as </w:t>
      </w:r>
      <w:r w:rsidDel="00000000" w:rsidR="00000000" w:rsidRPr="00000000">
        <w:rPr>
          <w:rtl w:val="0"/>
        </w:rPr>
        <w:t xml:space="preserve">Surname-AHEAD-2026.doc written according to the provided guidelines and submit it using the </w:t>
      </w:r>
      <w:hyperlink r:id="rId14">
        <w:r w:rsidDel="00000000" w:rsidR="00000000" w:rsidRPr="00000000">
          <w:rPr>
            <w:color w:val="1155cc"/>
            <w:u w:val="single"/>
            <w:rtl w:val="0"/>
          </w:rPr>
          <w:t xml:space="preserve">online upload form</w:t>
        </w:r>
      </w:hyperlink>
      <w:r w:rsidDel="00000000" w:rsidR="00000000" w:rsidRPr="00000000">
        <w:rPr>
          <w:rtl w:val="0"/>
        </w:rPr>
        <w:t xml:space="preserve"> no later than January </w:t>
      </w:r>
      <w:r w:rsidDel="00000000" w:rsidR="00000000" w:rsidRPr="00000000">
        <w:rPr>
          <w:b w:val="1"/>
          <w:rtl w:val="0"/>
        </w:rPr>
        <w:t xml:space="preserve">10</w:t>
      </w:r>
      <w:r w:rsidDel="00000000" w:rsidR="00000000" w:rsidRPr="00000000">
        <w:rPr>
          <w:b w:val="1"/>
          <w:vertAlign w:val="superscript"/>
          <w:rtl w:val="0"/>
        </w:rPr>
        <w:t xml:space="preserve">th</w:t>
      </w:r>
      <w:r w:rsidDel="00000000" w:rsidR="00000000" w:rsidRPr="00000000">
        <w:rPr>
          <w:b w:val="1"/>
          <w:rtl w:val="0"/>
        </w:rPr>
        <w:t xml:space="preserve">, 2026 or send it to </w:t>
      </w:r>
      <w:hyperlink r:id="rId15">
        <w:r w:rsidDel="00000000" w:rsidR="00000000" w:rsidRPr="00000000">
          <w:rPr>
            <w:b w:val="1"/>
            <w:color w:val="1155cc"/>
            <w:u w:val="single"/>
            <w:rtl w:val="0"/>
          </w:rPr>
          <w:t xml:space="preserve">marketing.nat@gmail.com</w:t>
        </w:r>
      </w:hyperlink>
      <w:r w:rsidDel="00000000" w:rsidR="00000000" w:rsidRPr="00000000">
        <w:rPr>
          <w:sz w:val="22"/>
          <w:szCs w:val="22"/>
          <w:rtl w:val="0"/>
        </w:rPr>
        <w:t xml:space="preserve">.</w:t>
      </w:r>
    </w:p>
    <w:p w:rsidR="00000000" w:rsidDel="00000000" w:rsidP="00000000" w:rsidRDefault="00000000" w:rsidRPr="00000000" w14:paraId="00000037">
      <w:pPr>
        <w:spacing w:after="0" w:lineRule="auto"/>
        <w:ind w:left="426" w:hanging="426"/>
        <w:rPr>
          <w:sz w:val="22"/>
          <w:szCs w:val="22"/>
        </w:rPr>
      </w:pPr>
      <w:r w:rsidDel="00000000" w:rsidR="00000000" w:rsidRPr="00000000">
        <w:rPr>
          <w:rtl w:val="0"/>
        </w:rPr>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hanging="426"/>
        <w:jc w:val="both"/>
        <w:rPr>
          <w:sz w:val="22"/>
          <w:szCs w:val="22"/>
        </w:rPr>
      </w:pPr>
      <w:r w:rsidDel="00000000" w:rsidR="00000000" w:rsidRPr="00000000">
        <w:rPr>
          <w:rtl w:val="0"/>
        </w:rPr>
      </w:r>
    </w:p>
    <w:sectPr>
      <w:headerReference r:id="rId16" w:type="default"/>
      <w:headerReference r:id="rId17" w:type="first"/>
      <w:footerReference r:id="rId18" w:type="even"/>
      <w:pgSz w:h="16834" w:w="11909" w:orient="portrait"/>
      <w:pgMar w:bottom="1418" w:top="1418" w:left="1134" w:right="1701" w:header="851" w:footer="561"/>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Times New Roman"/>
  <w:font w:name="Cambria"/>
  <w:font w:name="Arial"/>
  <w:font w:name="Calibri"/>
  <w:font w:name="Courier New"/>
  <w:font w:name="Cardo">
    <w:embedRegular w:fontKey="{00000000-0000-0000-0000-000000000000}" r:id="rId1" w:subsetted="0"/>
    <w:embedBold w:fontKey="{00000000-0000-0000-0000-000000000000}" r:id="rId2" w:subsetted="0"/>
    <w:embedItalic w:fontKey="{00000000-0000-0000-0000-000000000000}" r:id="rId3" w:subsetted="0"/>
  </w:font>
  <w:font w:name="Palatino Linotype">
    <w:embedRegular w:fontKey="{00000000-0000-0000-0000-000000000000}" r:id="rId4" w:subsetted="0"/>
    <w:embedBold w:fontKey="{00000000-0000-0000-0000-000000000000}" r:id="rId5" w:subsetted="0"/>
    <w:embedItalic w:fontKey="{00000000-0000-0000-0000-000000000000}" r:id="rId6" w:subsetted="0"/>
    <w:embedBoldItalic w:fontKey="{00000000-0000-0000-0000-000000000000}" r:id="rId7" w:subsetted="0"/>
  </w:font>
  <w:font w:name="Noto Sans Symbols">
    <w:embedRegular w:fontKey="{00000000-0000-0000-0000-000000000000}" r:id="rId8" w:subsetted="0"/>
    <w:embedBold w:fontKey="{00000000-0000-0000-0000-000000000000}" r:id="rId9"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397"/>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14:paraId="0000004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397"/>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039">
      <w:pPr>
        <w:spacing w:after="0" w:lineRule="auto"/>
        <w:rPr>
          <w:sz w:val="18"/>
          <w:szCs w:val="18"/>
        </w:rPr>
      </w:pPr>
      <w:r w:rsidDel="00000000" w:rsidR="00000000" w:rsidRPr="00000000">
        <w:rPr>
          <w:rStyle w:val="FootnoteReference"/>
          <w:vertAlign w:val="superscript"/>
        </w:rPr>
        <w:footnoteRef/>
      </w:r>
      <w:r w:rsidDel="00000000" w:rsidR="00000000" w:rsidRPr="00000000">
        <w:rPr>
          <w:sz w:val="18"/>
          <w:szCs w:val="18"/>
          <w:rtl w:val="0"/>
        </w:rPr>
        <w:t xml:space="preserve"> Title, institution and address, email:</w:t>
      </w:r>
    </w:p>
  </w:footnote>
  <w:footnote w:id="1">
    <w:p w:rsidR="00000000" w:rsidDel="00000000" w:rsidP="00000000" w:rsidRDefault="00000000" w:rsidRPr="00000000" w14:paraId="0000003A">
      <w:pPr>
        <w:widowControl w:val="0"/>
        <w:spacing w:after="0" w:line="276" w:lineRule="auto"/>
        <w:ind w:firstLine="0"/>
        <w:jc w:val="left"/>
        <w:rPr>
          <w:sz w:val="18"/>
          <w:szCs w:val="18"/>
        </w:rPr>
      </w:pPr>
      <w:r w:rsidDel="00000000" w:rsidR="00000000" w:rsidRPr="00000000">
        <w:rPr>
          <w:rStyle w:val="FootnoteReference"/>
          <w:vertAlign w:val="superscript"/>
        </w:rPr>
        <w:footnoteRef/>
      </w:r>
      <w:r w:rsidDel="00000000" w:rsidR="00000000" w:rsidRPr="00000000">
        <w:rPr>
          <w:rtl w:val="0"/>
        </w:rPr>
      </w:r>
    </w:p>
  </w:footnote>
  <w:footnote w:id="2">
    <w:p w:rsidR="00000000" w:rsidDel="00000000" w:rsidP="00000000" w:rsidRDefault="00000000" w:rsidRPr="00000000" w14:paraId="0000003B">
      <w:pPr>
        <w:widowControl w:val="0"/>
        <w:spacing w:after="0" w:line="276" w:lineRule="auto"/>
        <w:ind w:firstLine="0"/>
        <w:jc w:val="left"/>
        <w:rPr>
          <w:sz w:val="18"/>
          <w:szCs w:val="18"/>
        </w:rPr>
      </w:pPr>
      <w:r w:rsidDel="00000000" w:rsidR="00000000" w:rsidRPr="00000000">
        <w:rPr>
          <w:rStyle w:val="FootnoteReference"/>
          <w:vertAlign w:val="superscript"/>
        </w:rPr>
        <w:footnoteRef/>
      </w:r>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C">
    <w:pPr>
      <w:pBdr>
        <w:bottom w:color="000000" w:space="1" w:sz="4" w:val="single"/>
      </w:pBdr>
      <w:spacing w:after="0" w:lineRule="auto"/>
      <w:ind w:firstLine="0"/>
      <w:jc w:val="left"/>
      <w:rPr>
        <w:rFonts w:ascii="Palatino Linotype" w:cs="Palatino Linotype" w:eastAsia="Palatino Linotype" w:hAnsi="Palatino Linotype"/>
        <w:sz w:val="18"/>
        <w:szCs w:val="18"/>
      </w:rPr>
    </w:pPr>
    <w:bookmarkStart w:colFirst="0" w:colLast="0" w:name="_heading=h.45u1kj78hnfi" w:id="1"/>
    <w:bookmarkEnd w:id="1"/>
    <w:r w:rsidDel="00000000" w:rsidR="00000000" w:rsidRPr="00000000">
      <w:rPr>
        <w:rFonts w:ascii="Palatino Linotype" w:cs="Palatino Linotype" w:eastAsia="Palatino Linotype" w:hAnsi="Palatino Linotype"/>
        <w:sz w:val="18"/>
        <w:szCs w:val="18"/>
        <w:rtl w:val="0"/>
      </w:rPr>
      <w:t xml:space="preserve">Advancing Higher Education Academic Development - </w:t>
    </w:r>
  </w:p>
  <w:p w:rsidR="00000000" w:rsidDel="00000000" w:rsidP="00000000" w:rsidRDefault="00000000" w:rsidRPr="00000000" w14:paraId="0000003D">
    <w:pPr>
      <w:pBdr>
        <w:bottom w:color="000000" w:space="1" w:sz="4" w:val="single"/>
      </w:pBdr>
      <w:spacing w:after="0" w:lineRule="auto"/>
      <w:ind w:firstLine="0"/>
      <w:jc w:val="left"/>
      <w:rPr>
        <w:rFonts w:ascii="Palatino Linotype" w:cs="Palatino Linotype" w:eastAsia="Palatino Linotype" w:hAnsi="Palatino Linotype"/>
        <w:sz w:val="18"/>
        <w:szCs w:val="18"/>
      </w:rPr>
    </w:pPr>
    <w:bookmarkStart w:colFirst="0" w:colLast="0" w:name="_heading=h.5d5o9s4tvds9" w:id="2"/>
    <w:bookmarkEnd w:id="2"/>
    <w:r w:rsidDel="00000000" w:rsidR="00000000" w:rsidRPr="00000000">
      <w:rPr>
        <w:rFonts w:ascii="Palatino Linotype" w:cs="Palatino Linotype" w:eastAsia="Palatino Linotype" w:hAnsi="Palatino Linotype"/>
        <w:sz w:val="18"/>
        <w:szCs w:val="18"/>
        <w:rtl w:val="0"/>
      </w:rPr>
      <w:t xml:space="preserve">Academic, Scientific and Professional Conference (AHEAD) 2026</w:t>
    </w:r>
  </w:p>
  <w:p w:rsidR="00000000" w:rsidDel="00000000" w:rsidP="00000000" w:rsidRDefault="00000000" w:rsidRPr="00000000" w14:paraId="0000003E">
    <w:pPr>
      <w:pBdr>
        <w:bottom w:color="000000" w:space="1" w:sz="4" w:val="single"/>
      </w:pBdr>
      <w:spacing w:after="0" w:lineRule="auto"/>
      <w:ind w:firstLine="0"/>
      <w:jc w:val="left"/>
      <w:rPr>
        <w:rFonts w:ascii="Arial" w:cs="Arial" w:eastAsia="Arial" w:hAnsi="Arial"/>
        <w:sz w:val="22"/>
        <w:szCs w:val="22"/>
      </w:rPr>
    </w:pPr>
    <w:bookmarkStart w:colFirst="0" w:colLast="0" w:name="_heading=h.1fob9te" w:id="3"/>
    <w:bookmarkEnd w:id="3"/>
    <w:r w:rsidDel="00000000" w:rsidR="00000000" w:rsidRPr="00000000">
      <w:rPr>
        <w:rFonts w:ascii="Palatino Linotype" w:cs="Palatino Linotype" w:eastAsia="Palatino Linotype" w:hAnsi="Palatino Linotype"/>
        <w:sz w:val="18"/>
        <w:szCs w:val="18"/>
      </w:rPr>
      <w:drawing>
        <wp:anchor allowOverlap="1" behindDoc="1" distB="19050" distT="19050" distL="19050" distR="19050" hidden="0" layoutInCell="1" locked="0" relativeHeight="0" simplePos="0">
          <wp:simplePos x="0" y="0"/>
          <wp:positionH relativeFrom="page">
            <wp:posOffset>4368165</wp:posOffset>
          </wp:positionH>
          <wp:positionV relativeFrom="page">
            <wp:posOffset>273685</wp:posOffset>
          </wp:positionV>
          <wp:extent cx="3143250" cy="818415"/>
          <wp:effectExtent b="0" l="0" r="0" t="0"/>
          <wp:wrapNone/>
          <wp:docPr descr="AHEAD-logo.png" id="12" name="image5.png"/>
          <a:graphic>
            <a:graphicData uri="http://schemas.openxmlformats.org/drawingml/2006/picture">
              <pic:pic>
                <pic:nvPicPr>
                  <pic:cNvPr descr="AHEAD-logo.png" id="0" name="image5.png"/>
                  <pic:cNvPicPr preferRelativeResize="0"/>
                </pic:nvPicPr>
                <pic:blipFill>
                  <a:blip r:embed="rId1"/>
                  <a:srcRect b="16979" l="0" r="0" t="19329"/>
                  <a:stretch>
                    <a:fillRect/>
                  </a:stretch>
                </pic:blipFill>
                <pic:spPr>
                  <a:xfrm>
                    <a:off x="0" y="0"/>
                    <a:ext cx="3143250" cy="818415"/>
                  </a:xfrm>
                  <a:prstGeom prst="rect"/>
                  <a:ln/>
                </pic:spPr>
              </pic:pic>
            </a:graphicData>
          </a:graphic>
        </wp:anchor>
      </w:drawing>
    </w:r>
    <w:r w:rsidDel="00000000" w:rsidR="00000000" w:rsidRPr="00000000">
      <w:rPr>
        <w:rtl w:val="0"/>
      </w:rPr>
    </w:r>
  </w:p>
  <w:p w:rsidR="00000000" w:rsidDel="00000000" w:rsidP="00000000" w:rsidRDefault="00000000" w:rsidRPr="00000000" w14:paraId="0000003F">
    <w:pPr>
      <w:pBdr>
        <w:bottom w:color="000000" w:space="1" w:sz="4" w:val="single"/>
      </w:pBdr>
      <w:spacing w:after="0" w:lineRule="auto"/>
      <w:ind w:firstLine="0"/>
      <w:jc w:val="left"/>
      <w:rPr>
        <w:rFonts w:ascii="Arial" w:cs="Arial" w:eastAsia="Arial" w:hAnsi="Arial"/>
        <w:sz w:val="22"/>
        <w:szCs w:val="22"/>
      </w:rPr>
    </w:pPr>
    <w:r w:rsidDel="00000000" w:rsidR="00000000" w:rsidRPr="00000000">
      <w:rPr>
        <w:rtl w:val="0"/>
      </w:rPr>
    </w:r>
  </w:p>
  <w:p w:rsidR="00000000" w:rsidDel="00000000" w:rsidP="00000000" w:rsidRDefault="00000000" w:rsidRPr="00000000" w14:paraId="00000040">
    <w:pPr>
      <w:spacing w:after="0" w:lineRule="auto"/>
      <w:jc w:val="center"/>
      <w:rPr>
        <w:b w:val="1"/>
        <w:sz w:val="20"/>
        <w:szCs w:val="2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397"/>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b w:val="1"/>
        <w:sz w:val="20"/>
        <w:szCs w:val="20"/>
        <w:rtl w:val="0"/>
      </w:rPr>
      <w:t xml:space="preserve">Challenges in Contemporary Higher Education</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w:t>
    </w: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-571498</wp:posOffset>
          </wp:positionH>
          <wp:positionV relativeFrom="paragraph">
            <wp:posOffset>-342898</wp:posOffset>
          </wp:positionV>
          <wp:extent cx="2055582" cy="702945"/>
          <wp:effectExtent b="0" l="0" r="0" t="0"/>
          <wp:wrapNone/>
          <wp:docPr id="8"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2055582" cy="702945"/>
                  </a:xfrm>
                  <a:prstGeom prst="rect"/>
                  <a:ln/>
                </pic:spPr>
              </pic:pic>
            </a:graphicData>
          </a:graphic>
        </wp:anchor>
      </w:drawing>
    </w:r>
  </w:p>
  <w:p w:rsidR="00000000" w:rsidDel="00000000" w:rsidP="00000000" w:rsidRDefault="00000000" w:rsidRPr="00000000" w14:paraId="0000004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397"/>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t xml:space="preserve">Kopaonik</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tl w:val="0"/>
      </w:rPr>
      <w:t xml:space="preserve">Srbija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tl w:val="0"/>
      </w:rPr>
      <w:t xml:space="preserve">29.01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w:t>
    </w:r>
    <w:r w:rsidDel="00000000" w:rsidR="00000000" w:rsidRPr="00000000">
      <w:rPr>
        <w:rtl w:val="0"/>
      </w:rPr>
      <w:t xml:space="preserve">02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tl w:val="0"/>
      </w:rPr>
      <w:t xml:space="preserve">02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tl w:val="0"/>
      </w:rPr>
      <w:t xml:space="preserve">2026</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
    <w:lvl w:ilvl="0">
      <w:start w:val="1"/>
      <w:numFmt w:val="decimal"/>
      <w:lvlText w:val="%1."/>
      <w:lvlJc w:val="left"/>
      <w:pPr>
        <w:ind w:left="360" w:hanging="360"/>
      </w:pPr>
      <w:rPr>
        <w:vertAlign w:val="baseline"/>
      </w:rPr>
    </w:lvl>
    <w:lvl w:ilvl="1">
      <w:start w:val="1"/>
      <w:numFmt w:val="decimal"/>
      <w:lvlText w:val="%1.%2."/>
      <w:lvlJc w:val="left"/>
      <w:pPr>
        <w:ind w:left="792" w:hanging="432"/>
      </w:pPr>
      <w:rPr>
        <w:vertAlign w:val="baseline"/>
      </w:rPr>
    </w:lvl>
    <w:lvl w:ilvl="2">
      <w:start w:val="1"/>
      <w:numFmt w:val="decimal"/>
      <w:lvlText w:val="%1.%2.%3."/>
      <w:lvlJc w:val="left"/>
      <w:pPr>
        <w:ind w:left="1224" w:hanging="504"/>
      </w:pPr>
      <w:rPr>
        <w:vertAlign w:val="baseline"/>
      </w:rPr>
    </w:lvl>
    <w:lvl w:ilvl="3">
      <w:start w:val="1"/>
      <w:numFmt w:val="decimal"/>
      <w:lvlText w:val="%1.%2.%3.%4."/>
      <w:lvlJc w:val="left"/>
      <w:pPr>
        <w:ind w:left="1728" w:hanging="647.9999999999998"/>
      </w:pPr>
      <w:rPr>
        <w:vertAlign w:val="baseline"/>
      </w:rPr>
    </w:lvl>
    <w:lvl w:ilvl="4">
      <w:start w:val="1"/>
      <w:numFmt w:val="decimal"/>
      <w:lvlText w:val="%1.%2.%3.%4.%5."/>
      <w:lvlJc w:val="left"/>
      <w:pPr>
        <w:ind w:left="2232" w:hanging="792"/>
      </w:pPr>
      <w:rPr>
        <w:vertAlign w:val="baseline"/>
      </w:rPr>
    </w:lvl>
    <w:lvl w:ilvl="5">
      <w:start w:val="1"/>
      <w:numFmt w:val="decimal"/>
      <w:lvlText w:val="%1.%2.%3.%4.%5.%6."/>
      <w:lvlJc w:val="left"/>
      <w:pPr>
        <w:ind w:left="2736" w:hanging="935.9999999999995"/>
      </w:pPr>
      <w:rPr>
        <w:vertAlign w:val="baseline"/>
      </w:rPr>
    </w:lvl>
    <w:lvl w:ilvl="6">
      <w:start w:val="1"/>
      <w:numFmt w:val="decimal"/>
      <w:lvlText w:val="%1.%2.%3.%4.%5.%6.%7."/>
      <w:lvlJc w:val="left"/>
      <w:pPr>
        <w:ind w:left="3240" w:hanging="1080"/>
      </w:pPr>
      <w:rPr>
        <w:vertAlign w:val="baseline"/>
      </w:rPr>
    </w:lvl>
    <w:lvl w:ilvl="7">
      <w:start w:val="1"/>
      <w:numFmt w:val="decimal"/>
      <w:lvlText w:val="%1.%2.%3.%4.%5.%6.%7.%8."/>
      <w:lvlJc w:val="left"/>
      <w:pPr>
        <w:ind w:left="3744" w:hanging="1224.0000000000005"/>
      </w:pPr>
      <w:rPr>
        <w:vertAlign w:val="baseline"/>
      </w:rPr>
    </w:lvl>
    <w:lvl w:ilvl="8">
      <w:start w:val="1"/>
      <w:numFmt w:val="decimal"/>
      <w:lvlText w:val="%1.%2.%3.%4.%5.%6.%7.%8.%9."/>
      <w:lvlJc w:val="left"/>
      <w:pPr>
        <w:ind w:left="4320" w:hanging="1440"/>
      </w:pPr>
      <w:rPr>
        <w:vertAlign w:val="baseline"/>
      </w:rPr>
    </w:lvl>
  </w:abstractNum>
  <w:abstractNum w:abstractNumId="3">
    <w:lvl w:ilvl="0">
      <w:start w:val="1"/>
      <w:numFmt w:val="decimal"/>
      <w:lvlText w:val="%1."/>
      <w:lvlJc w:val="left"/>
      <w:pPr>
        <w:ind w:left="360" w:hanging="360"/>
      </w:pPr>
      <w:rPr>
        <w:vertAlign w:val="baseline"/>
      </w:rPr>
    </w:lvl>
    <w:lvl w:ilvl="1">
      <w:start w:val="1"/>
      <w:numFmt w:val="decimal"/>
      <w:lvlText w:val="%1.%2."/>
      <w:lvlJc w:val="left"/>
      <w:pPr>
        <w:ind w:left="792" w:hanging="432"/>
      </w:pPr>
      <w:rPr>
        <w:vertAlign w:val="baseline"/>
      </w:rPr>
    </w:lvl>
    <w:lvl w:ilvl="2">
      <w:start w:val="1"/>
      <w:numFmt w:val="decimal"/>
      <w:lvlText w:val="%1.%2.%3."/>
      <w:lvlJc w:val="left"/>
      <w:pPr>
        <w:ind w:left="1224" w:hanging="504"/>
      </w:pPr>
      <w:rPr>
        <w:vertAlign w:val="baseline"/>
      </w:rPr>
    </w:lvl>
    <w:lvl w:ilvl="3">
      <w:start w:val="1"/>
      <w:numFmt w:val="decimal"/>
      <w:lvlText w:val="%1.%2.%3.%4."/>
      <w:lvlJc w:val="left"/>
      <w:pPr>
        <w:ind w:left="1728" w:hanging="647.9999999999998"/>
      </w:pPr>
      <w:rPr>
        <w:vertAlign w:val="baseline"/>
      </w:rPr>
    </w:lvl>
    <w:lvl w:ilvl="4">
      <w:start w:val="1"/>
      <w:numFmt w:val="decimal"/>
      <w:lvlText w:val="%1.%2.%3.%4.%5."/>
      <w:lvlJc w:val="left"/>
      <w:pPr>
        <w:ind w:left="2232" w:hanging="792"/>
      </w:pPr>
      <w:rPr>
        <w:vertAlign w:val="baseline"/>
      </w:rPr>
    </w:lvl>
    <w:lvl w:ilvl="5">
      <w:start w:val="1"/>
      <w:numFmt w:val="decimal"/>
      <w:lvlText w:val="%1.%2.%3.%4.%5.%6."/>
      <w:lvlJc w:val="left"/>
      <w:pPr>
        <w:ind w:left="2736" w:hanging="935.9999999999995"/>
      </w:pPr>
      <w:rPr>
        <w:vertAlign w:val="baseline"/>
      </w:rPr>
    </w:lvl>
    <w:lvl w:ilvl="6">
      <w:start w:val="1"/>
      <w:numFmt w:val="decimal"/>
      <w:lvlText w:val="%1.%2.%3.%4.%5.%6.%7."/>
      <w:lvlJc w:val="left"/>
      <w:pPr>
        <w:ind w:left="3240" w:hanging="1080"/>
      </w:pPr>
      <w:rPr>
        <w:vertAlign w:val="baseline"/>
      </w:rPr>
    </w:lvl>
    <w:lvl w:ilvl="7">
      <w:start w:val="1"/>
      <w:numFmt w:val="decimal"/>
      <w:lvlText w:val="%1.%2.%3.%4.%5.%6.%7.%8."/>
      <w:lvlJc w:val="left"/>
      <w:pPr>
        <w:ind w:left="3744" w:hanging="1224.0000000000005"/>
      </w:pPr>
      <w:rPr>
        <w:vertAlign w:val="baseline"/>
      </w:rPr>
    </w:lvl>
    <w:lvl w:ilvl="8">
      <w:start w:val="1"/>
      <w:numFmt w:val="decimal"/>
      <w:lvlText w:val="%1.%2.%3.%4.%5.%6.%7.%8.%9."/>
      <w:lvlJc w:val="left"/>
      <w:pPr>
        <w:ind w:left="4320" w:hanging="1440"/>
      </w:pPr>
      <w:rPr>
        <w:vertAlign w:val="baseline"/>
      </w:rPr>
    </w:lvl>
  </w:abstractNum>
  <w:abstractNum w:abstractNumId="4">
    <w:lvl w:ilvl="0">
      <w:start w:val="1"/>
      <w:numFmt w:val="bullet"/>
      <w:lvlText w:val="●"/>
      <w:lvlJc w:val="left"/>
      <w:pPr>
        <w:ind w:left="-395" w:hanging="170"/>
      </w:pPr>
      <w:rPr>
        <w:rFonts w:ascii="Noto Sans Symbols" w:cs="Noto Sans Symbols" w:eastAsia="Noto Sans Symbols" w:hAnsi="Noto Sans Symbols"/>
        <w:vertAlign w:val="baseline"/>
      </w:rPr>
    </w:lvl>
    <w:lvl w:ilvl="1">
      <w:start w:val="1"/>
      <w:numFmt w:val="bullet"/>
      <w:lvlText w:val="o"/>
      <w:lvlJc w:val="left"/>
      <w:pPr>
        <w:ind w:left="875" w:hanging="360"/>
      </w:pPr>
      <w:rPr>
        <w:rFonts w:ascii="Courier New" w:cs="Courier New" w:eastAsia="Courier New" w:hAnsi="Courier New"/>
        <w:vertAlign w:val="baseline"/>
      </w:rPr>
    </w:lvl>
    <w:lvl w:ilvl="2">
      <w:start w:val="1"/>
      <w:numFmt w:val="bullet"/>
      <w:lvlText w:val="▪"/>
      <w:lvlJc w:val="left"/>
      <w:pPr>
        <w:ind w:left="1595" w:hanging="360"/>
      </w:pPr>
      <w:rPr>
        <w:rFonts w:ascii="Noto Sans Symbols" w:cs="Noto Sans Symbols" w:eastAsia="Noto Sans Symbols" w:hAnsi="Noto Sans Symbols"/>
        <w:vertAlign w:val="baseline"/>
      </w:rPr>
    </w:lvl>
    <w:lvl w:ilvl="3">
      <w:start w:val="1"/>
      <w:numFmt w:val="bullet"/>
      <w:lvlText w:val="●"/>
      <w:lvlJc w:val="left"/>
      <w:pPr>
        <w:ind w:left="2315" w:hanging="360"/>
      </w:pPr>
      <w:rPr>
        <w:rFonts w:ascii="Noto Sans Symbols" w:cs="Noto Sans Symbols" w:eastAsia="Noto Sans Symbols" w:hAnsi="Noto Sans Symbols"/>
        <w:vertAlign w:val="baseline"/>
      </w:rPr>
    </w:lvl>
    <w:lvl w:ilvl="4">
      <w:start w:val="1"/>
      <w:numFmt w:val="bullet"/>
      <w:lvlText w:val="o"/>
      <w:lvlJc w:val="left"/>
      <w:pPr>
        <w:ind w:left="3035" w:hanging="360"/>
      </w:pPr>
      <w:rPr>
        <w:rFonts w:ascii="Courier New" w:cs="Courier New" w:eastAsia="Courier New" w:hAnsi="Courier New"/>
        <w:vertAlign w:val="baseline"/>
      </w:rPr>
    </w:lvl>
    <w:lvl w:ilvl="5">
      <w:start w:val="1"/>
      <w:numFmt w:val="bullet"/>
      <w:lvlText w:val="▪"/>
      <w:lvlJc w:val="left"/>
      <w:pPr>
        <w:ind w:left="3755" w:hanging="360"/>
      </w:pPr>
      <w:rPr>
        <w:rFonts w:ascii="Noto Sans Symbols" w:cs="Noto Sans Symbols" w:eastAsia="Noto Sans Symbols" w:hAnsi="Noto Sans Symbols"/>
        <w:vertAlign w:val="baseline"/>
      </w:rPr>
    </w:lvl>
    <w:lvl w:ilvl="6">
      <w:start w:val="1"/>
      <w:numFmt w:val="bullet"/>
      <w:lvlText w:val="●"/>
      <w:lvlJc w:val="left"/>
      <w:pPr>
        <w:ind w:left="4475" w:hanging="360"/>
      </w:pPr>
      <w:rPr>
        <w:rFonts w:ascii="Noto Sans Symbols" w:cs="Noto Sans Symbols" w:eastAsia="Noto Sans Symbols" w:hAnsi="Noto Sans Symbols"/>
        <w:vertAlign w:val="baseline"/>
      </w:rPr>
    </w:lvl>
    <w:lvl w:ilvl="7">
      <w:start w:val="1"/>
      <w:numFmt w:val="bullet"/>
      <w:lvlText w:val="o"/>
      <w:lvlJc w:val="left"/>
      <w:pPr>
        <w:ind w:left="5195" w:hanging="360"/>
      </w:pPr>
      <w:rPr>
        <w:rFonts w:ascii="Courier New" w:cs="Courier New" w:eastAsia="Courier New" w:hAnsi="Courier New"/>
        <w:vertAlign w:val="baseline"/>
      </w:rPr>
    </w:lvl>
    <w:lvl w:ilvl="8">
      <w:start w:val="1"/>
      <w:numFmt w:val="bullet"/>
      <w:lvlText w:val="▪"/>
      <w:lvlJc w:val="left"/>
      <w:pPr>
        <w:ind w:left="5915" w:hanging="360"/>
      </w:pPr>
      <w:rPr>
        <w:rFonts w:ascii="Noto Sans Symbols" w:cs="Noto Sans Symbols" w:eastAsia="Noto Sans Symbols" w:hAnsi="Noto Sans Symbols"/>
        <w:vertAlign w:val="baseli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rPr>
    </w:rPrDefault>
    <w:pPrDefault>
      <w:pPr>
        <w:spacing w:after="120" w:lineRule="auto"/>
        <w:ind w:firstLine="397"/>
        <w:jc w:val="both"/>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spacing w:after="0" w:lineRule="auto"/>
      <w:ind w:firstLine="0"/>
      <w:jc w:val="center"/>
    </w:pPr>
    <w:rPr>
      <w:rFonts w:ascii="Times New Roman" w:cs="Times New Roman" w:eastAsia="Times New Roman" w:hAnsi="Times New Roman"/>
      <w:b w:val="1"/>
      <w:smallCaps w:val="1"/>
      <w:sz w:val="28"/>
      <w:szCs w:val="28"/>
      <w:vertAlign w:val="baseline"/>
    </w:rPr>
  </w:style>
  <w:style w:type="paragraph" w:styleId="Heading2">
    <w:name w:val="heading 2"/>
    <w:basedOn w:val="Normal"/>
    <w:next w:val="Normal"/>
    <w:pPr>
      <w:spacing w:after="120" w:before="360" w:lineRule="auto"/>
      <w:ind w:left="360" w:firstLine="397"/>
      <w:jc w:val="left"/>
    </w:pPr>
    <w:rPr>
      <w:rFonts w:ascii="Times New Roman" w:cs="Times New Roman" w:eastAsia="Times New Roman" w:hAnsi="Times New Roman"/>
      <w:b w:val="1"/>
      <w:smallCaps w:val="1"/>
      <w:sz w:val="22"/>
      <w:szCs w:val="22"/>
      <w:vertAlign w:val="baseline"/>
    </w:rPr>
  </w:style>
  <w:style w:type="paragraph" w:styleId="Heading3">
    <w:name w:val="heading 3"/>
    <w:basedOn w:val="Normal"/>
    <w:next w:val="Normal"/>
    <w:pPr>
      <w:spacing w:after="120" w:before="120" w:lineRule="auto"/>
      <w:ind w:left="426" w:hanging="426"/>
      <w:jc w:val="both"/>
    </w:pPr>
    <w:rPr>
      <w:rFonts w:ascii="Times New Roman" w:cs="Times New Roman" w:eastAsia="Times New Roman" w:hAnsi="Times New Roman"/>
      <w:b w:val="1"/>
      <w:sz w:val="22"/>
      <w:szCs w:val="22"/>
      <w:vertAlign w:val="baseline"/>
    </w:rPr>
  </w:style>
  <w:style w:type="paragraph" w:styleId="Heading4">
    <w:name w:val="heading 4"/>
    <w:basedOn w:val="Normal"/>
    <w:next w:val="Normal"/>
    <w:pPr>
      <w:spacing w:after="120" w:before="360" w:lineRule="auto"/>
      <w:ind w:left="567" w:hanging="567"/>
      <w:jc w:val="both"/>
    </w:pPr>
    <w:rPr>
      <w:rFonts w:ascii="Times New Roman" w:cs="Times New Roman" w:eastAsia="Times New Roman" w:hAnsi="Times New Roman"/>
      <w:b w:val="1"/>
      <w:sz w:val="22"/>
      <w:szCs w:val="22"/>
      <w:vertAlign w:val="baseline"/>
    </w:rPr>
  </w:style>
  <w:style w:type="paragraph" w:styleId="Heading5">
    <w:name w:val="heading 5"/>
    <w:basedOn w:val="Normal"/>
    <w:next w:val="Normal"/>
    <w:pPr>
      <w:spacing w:after="0" w:before="200" w:lineRule="auto"/>
      <w:ind w:left="227" w:firstLine="397"/>
      <w:jc w:val="both"/>
    </w:pPr>
    <w:rPr>
      <w:rFonts w:ascii="Cambria" w:cs="Cambria" w:eastAsia="Cambria" w:hAnsi="Cambria"/>
      <w:b w:val="1"/>
      <w:color w:val="7f7f7f"/>
      <w:sz w:val="20"/>
      <w:szCs w:val="20"/>
      <w:vertAlign w:val="baseline"/>
    </w:rPr>
  </w:style>
  <w:style w:type="paragraph" w:styleId="Heading6">
    <w:name w:val="heading 6"/>
    <w:basedOn w:val="Normal"/>
    <w:next w:val="Normal"/>
    <w:pPr>
      <w:spacing w:after="0" w:line="271" w:lineRule="auto"/>
      <w:ind w:left="227" w:firstLine="397"/>
      <w:jc w:val="both"/>
    </w:pPr>
    <w:rPr>
      <w:rFonts w:ascii="Cambria" w:cs="Cambria" w:eastAsia="Cambria" w:hAnsi="Cambria"/>
      <w:b w:val="1"/>
      <w:i w:val="1"/>
      <w:color w:val="7f7f7f"/>
      <w:sz w:val="20"/>
      <w:szCs w:val="20"/>
      <w:vertAlign w:val="baseline"/>
    </w:rPr>
  </w:style>
  <w:style w:type="paragraph" w:styleId="Title">
    <w:name w:val="Title"/>
    <w:basedOn w:val="Normal"/>
    <w:next w:val="Normal"/>
    <w:pPr>
      <w:pBdr>
        <w:bottom w:color="000000" w:space="1" w:sz="4" w:val="single"/>
      </w:pBdr>
      <w:spacing w:after="120" w:lineRule="auto"/>
      <w:ind w:firstLine="397"/>
      <w:jc w:val="both"/>
    </w:pPr>
    <w:rPr>
      <w:rFonts w:ascii="Cambria" w:cs="Cambria" w:eastAsia="Cambria" w:hAnsi="Cambria"/>
      <w:sz w:val="52"/>
      <w:szCs w:val="52"/>
      <w:vertAlign w:val="baseline"/>
    </w:rPr>
  </w:style>
  <w:style w:type="paragraph" w:styleId="Normal" w:default="1">
    <w:name w:val="normal"/>
  </w:style>
  <w:style w:type="table" w:styleId="TableNormal" w:default="1">
    <w:name w:val="Table Normal"/>
  </w:style>
  <w:style w:type="table" w:styleId="Table1">
    <w:basedOn w:val="TableNormal"/>
    <w:rPr>
      <w:vertAlign w:val="baseline"/>
    </w:rPr>
    <w:tblPr>
      <w:tblStyleRowBandSize w:val="1"/>
      <w:tblStyleColBandSize w:val="1"/>
      <w:tblCellMar>
        <w:top w:w="0.0" w:type="dxa"/>
        <w:left w:w="0.0" w:type="dxa"/>
        <w:bottom w:w="0.0" w:type="dxa"/>
        <w:right w:w="0.0" w:type="dxa"/>
      </w:tblCellMar>
    </w:tblPr>
  </w:style>
  <w:style w:type="paragraph" w:styleId="Subtitle">
    <w:name w:val="Subtitle"/>
    <w:basedOn w:val="Normal"/>
    <w:next w:val="Normal"/>
    <w:pPr>
      <w:spacing w:after="600" w:lineRule="auto"/>
      <w:ind w:firstLine="397"/>
      <w:jc w:val="both"/>
    </w:pPr>
    <w:rPr>
      <w:rFonts w:ascii="Cambria" w:cs="Cambria" w:eastAsia="Cambria" w:hAnsi="Cambria"/>
      <w:i w:val="1"/>
      <w:sz w:val="24"/>
      <w:szCs w:val="24"/>
      <w:vertAlign w:val="baseline"/>
    </w:rPr>
  </w:style>
  <w:style w:type="table" w:styleId="Table1">
    <w:basedOn w:val="TableNormal"/>
    <w:rPr>
      <w:vertAlign w:val="baseline"/>
    </w:rPr>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6.png"/><Relationship Id="rId10" Type="http://schemas.openxmlformats.org/officeDocument/2006/relationships/image" Target="media/image4.png"/><Relationship Id="rId13" Type="http://schemas.openxmlformats.org/officeDocument/2006/relationships/hyperlink" Target="http://www.mikeware.co.uk/mikeware/John_Herschel.html" TargetMode="External"/><Relationship Id="rId12" Type="http://schemas.openxmlformats.org/officeDocument/2006/relationships/hyperlink" Target="http://www.mikeware.co.uk/mikeware/John_Herschel.html"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png"/><Relationship Id="rId15" Type="http://schemas.openxmlformats.org/officeDocument/2006/relationships/hyperlink" Target="mailto:marketing.nat@gmail.com" TargetMode="External"/><Relationship Id="rId14" Type="http://schemas.openxmlformats.org/officeDocument/2006/relationships/hyperlink" Target="https://docs.google.com/forms/d/e/1FAIpQLSfIe3iWWne_V6ygJCcmcGVbIveG6wqHWIZjAXHqfpl2hyD-Rw/viewform?usp=sharing&amp;ouid=110818343388711599818" TargetMode="External"/><Relationship Id="rId17" Type="http://schemas.openxmlformats.org/officeDocument/2006/relationships/header" Target="header2.xml"/><Relationship Id="rId16" Type="http://schemas.openxmlformats.org/officeDocument/2006/relationships/header" Target="header1.xml"/><Relationship Id="rId5" Type="http://schemas.openxmlformats.org/officeDocument/2006/relationships/numbering" Target="numbering.xml"/><Relationship Id="rId6" Type="http://schemas.openxmlformats.org/officeDocument/2006/relationships/styles" Target="styles.xml"/><Relationship Id="rId18" Type="http://schemas.openxmlformats.org/officeDocument/2006/relationships/footer" Target="footer1.xml"/><Relationship Id="rId7" Type="http://schemas.openxmlformats.org/officeDocument/2006/relationships/customXml" Target="../customXML/item1.xml"/><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Cardo-regular.ttf"/><Relationship Id="rId2" Type="http://schemas.openxmlformats.org/officeDocument/2006/relationships/font" Target="fonts/Cardo-bold.ttf"/><Relationship Id="rId3" Type="http://schemas.openxmlformats.org/officeDocument/2006/relationships/font" Target="fonts/Cardo-italic.ttf"/><Relationship Id="rId4" Type="http://schemas.openxmlformats.org/officeDocument/2006/relationships/font" Target="fonts/PalatinoLinotype-regular.ttf"/><Relationship Id="rId9" Type="http://schemas.openxmlformats.org/officeDocument/2006/relationships/font" Target="fonts/NotoSansSymbols-bold.ttf"/><Relationship Id="rId5" Type="http://schemas.openxmlformats.org/officeDocument/2006/relationships/font" Target="fonts/PalatinoLinotype-bold.ttf"/><Relationship Id="rId6" Type="http://schemas.openxmlformats.org/officeDocument/2006/relationships/font" Target="fonts/PalatinoLinotype-italic.ttf"/><Relationship Id="rId7" Type="http://schemas.openxmlformats.org/officeDocument/2006/relationships/font" Target="fonts/PalatinoLinotype-boldItalic.ttf"/><Relationship Id="rId8" Type="http://schemas.openxmlformats.org/officeDocument/2006/relationships/font" Target="fonts/NotoSansSymbols-regular.ttf"/></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d6VpEt25NvXvbj4/ARiqAJOv6iA==">CgMxLjAaEgoBMBINCgsIB0IHEgVDYXJkbzIOaC40YjQ0aW91aHNudzYyDmguNDV1MWtqNzhobmZpMg5oLjVkNW85czR0dmRzOTIJaC4xZm9iOXRlOAByITFKM2tOeF9sT0tKOXFrNk9YRlNiTHNQQjNyQlY3QmpfVQ==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